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937B" w14:textId="77777777" w:rsidR="005604CD" w:rsidRPr="000F6909" w:rsidRDefault="005604CD" w:rsidP="00C228EC">
      <w:pPr>
        <w:jc w:val="both"/>
        <w:rPr>
          <w:b/>
          <w:bCs/>
          <w:sz w:val="28"/>
          <w:szCs w:val="28"/>
        </w:rPr>
      </w:pPr>
      <w:bookmarkStart w:id="0" w:name="_Hlk121223944"/>
      <w:r w:rsidRPr="000F6909">
        <w:rPr>
          <w:b/>
          <w:bCs/>
          <w:sz w:val="28"/>
          <w:szCs w:val="28"/>
        </w:rPr>
        <w:t>CFAO UK STAFF PENSION FUND</w:t>
      </w:r>
    </w:p>
    <w:p w14:paraId="727E24DE" w14:textId="5C3AE009" w:rsidR="00C228EC" w:rsidRPr="008C500A" w:rsidRDefault="00C228EC" w:rsidP="00C228EC">
      <w:pPr>
        <w:jc w:val="both"/>
        <w:rPr>
          <w:rFonts w:cstheme="minorHAnsi"/>
          <w:b/>
          <w:sz w:val="24"/>
          <w:szCs w:val="24"/>
          <w:u w:val="single"/>
        </w:rPr>
      </w:pPr>
      <w:r w:rsidRPr="008C500A">
        <w:rPr>
          <w:rFonts w:cstheme="minorHAnsi"/>
          <w:b/>
          <w:sz w:val="24"/>
          <w:szCs w:val="24"/>
          <w:u w:val="single"/>
        </w:rPr>
        <w:t>Statement of Investment Principles (“SIP”)</w:t>
      </w:r>
    </w:p>
    <w:p w14:paraId="727E24E0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bookmarkStart w:id="1" w:name="_Hlk121223952"/>
      <w:bookmarkEnd w:id="0"/>
      <w:r w:rsidRPr="008C500A">
        <w:rPr>
          <w:rFonts w:cstheme="minorHAnsi"/>
          <w:b/>
          <w:sz w:val="24"/>
          <w:szCs w:val="24"/>
        </w:rPr>
        <w:t>Purpose of this Statement</w:t>
      </w:r>
    </w:p>
    <w:p w14:paraId="727E24E1" w14:textId="04CDB329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954756">
        <w:rPr>
          <w:rFonts w:cstheme="minorHAnsi"/>
          <w:sz w:val="24"/>
          <w:szCs w:val="24"/>
        </w:rPr>
        <w:t xml:space="preserve">This SIP has been prepared by the </w:t>
      </w:r>
      <w:r w:rsidR="007A0FA0" w:rsidRPr="00954756">
        <w:rPr>
          <w:rFonts w:cstheme="minorHAnsi"/>
          <w:sz w:val="24"/>
          <w:szCs w:val="24"/>
        </w:rPr>
        <w:t>Trustee</w:t>
      </w:r>
      <w:r w:rsidRPr="00954756">
        <w:rPr>
          <w:rFonts w:cstheme="minorHAnsi"/>
          <w:sz w:val="24"/>
          <w:szCs w:val="24"/>
        </w:rPr>
        <w:t xml:space="preserve"> of the </w:t>
      </w:r>
      <w:r w:rsidR="00BA49AE" w:rsidRPr="00954756">
        <w:rPr>
          <w:rFonts w:cstheme="minorHAnsi"/>
          <w:sz w:val="24"/>
          <w:szCs w:val="24"/>
        </w:rPr>
        <w:t>CFAO UK Staff Pension</w:t>
      </w:r>
      <w:r w:rsidRPr="00954756">
        <w:rPr>
          <w:rFonts w:cstheme="minorHAnsi"/>
          <w:sz w:val="24"/>
          <w:szCs w:val="24"/>
        </w:rPr>
        <w:t xml:space="preserve"> </w:t>
      </w:r>
      <w:r w:rsidR="007A0FA0" w:rsidRPr="00954756">
        <w:rPr>
          <w:rFonts w:cstheme="minorHAnsi"/>
          <w:sz w:val="24"/>
          <w:szCs w:val="24"/>
        </w:rPr>
        <w:t>Fund</w:t>
      </w:r>
      <w:r w:rsidRPr="00954756">
        <w:rPr>
          <w:rFonts w:cstheme="minorHAnsi"/>
          <w:sz w:val="24"/>
          <w:szCs w:val="24"/>
        </w:rPr>
        <w:t xml:space="preserve"> (the “</w:t>
      </w:r>
      <w:r w:rsidR="007A0FA0" w:rsidRPr="00954756">
        <w:rPr>
          <w:rFonts w:cstheme="minorHAnsi"/>
          <w:sz w:val="24"/>
          <w:szCs w:val="24"/>
        </w:rPr>
        <w:t>Fund</w:t>
      </w:r>
      <w:r w:rsidRPr="00954756">
        <w:rPr>
          <w:rFonts w:cstheme="minorHAnsi"/>
          <w:sz w:val="24"/>
          <w:szCs w:val="24"/>
        </w:rPr>
        <w:t xml:space="preserve">”). This statement sets out the principles governing the </w:t>
      </w:r>
      <w:r w:rsidR="007A0FA0" w:rsidRPr="00954756">
        <w:rPr>
          <w:rFonts w:cstheme="minorHAnsi"/>
          <w:sz w:val="24"/>
          <w:szCs w:val="24"/>
        </w:rPr>
        <w:t>Trustee</w:t>
      </w:r>
      <w:r w:rsidRPr="00954756">
        <w:rPr>
          <w:rFonts w:cstheme="minorHAnsi"/>
          <w:sz w:val="24"/>
          <w:szCs w:val="24"/>
        </w:rPr>
        <w:t>’</w:t>
      </w:r>
      <w:r w:rsidR="00954756" w:rsidRPr="00954756">
        <w:rPr>
          <w:rFonts w:cstheme="minorHAnsi"/>
          <w:sz w:val="24"/>
          <w:szCs w:val="24"/>
        </w:rPr>
        <w:t>s</w:t>
      </w:r>
      <w:r w:rsidRPr="00954756">
        <w:rPr>
          <w:rFonts w:cstheme="minorHAnsi"/>
          <w:sz w:val="24"/>
          <w:szCs w:val="24"/>
        </w:rPr>
        <w:t xml:space="preserve"> decisions to invest the assets of the </w:t>
      </w:r>
      <w:r w:rsidR="007A0FA0" w:rsidRPr="00954756">
        <w:rPr>
          <w:rFonts w:cstheme="minorHAnsi"/>
          <w:sz w:val="24"/>
          <w:szCs w:val="24"/>
        </w:rPr>
        <w:t>Fund</w:t>
      </w:r>
      <w:r w:rsidRPr="00954756">
        <w:rPr>
          <w:rFonts w:cstheme="minorHAnsi"/>
          <w:sz w:val="24"/>
          <w:szCs w:val="24"/>
        </w:rPr>
        <w:t>.</w:t>
      </w:r>
      <w:r w:rsidRPr="008C500A">
        <w:rPr>
          <w:rFonts w:cstheme="minorHAnsi"/>
          <w:sz w:val="24"/>
          <w:szCs w:val="24"/>
        </w:rPr>
        <w:t xml:space="preserve"> </w:t>
      </w:r>
    </w:p>
    <w:p w14:paraId="727E24E2" w14:textId="7CC5BFFF" w:rsidR="00C228EC" w:rsidRDefault="00C228EC" w:rsidP="00C228EC">
      <w:pPr>
        <w:jc w:val="both"/>
        <w:rPr>
          <w:rFonts w:cstheme="minorHAnsi"/>
          <w:sz w:val="24"/>
          <w:szCs w:val="24"/>
        </w:rPr>
      </w:pPr>
      <w:r w:rsidRPr="00954756">
        <w:rPr>
          <w:rFonts w:cstheme="minorHAnsi"/>
          <w:sz w:val="24"/>
          <w:szCs w:val="24"/>
        </w:rPr>
        <w:t xml:space="preserve">The </w:t>
      </w:r>
      <w:r w:rsidR="007A0FA0" w:rsidRPr="00954756">
        <w:rPr>
          <w:rFonts w:cstheme="minorHAnsi"/>
          <w:sz w:val="24"/>
          <w:szCs w:val="24"/>
        </w:rPr>
        <w:t>Fund</w:t>
      </w:r>
      <w:r w:rsidRPr="00954756">
        <w:rPr>
          <w:rFonts w:cstheme="minorHAnsi"/>
          <w:sz w:val="24"/>
          <w:szCs w:val="24"/>
        </w:rPr>
        <w:t xml:space="preserve">’s investment strategy is derived from the </w:t>
      </w:r>
      <w:r w:rsidR="007A0FA0" w:rsidRPr="00954756">
        <w:rPr>
          <w:rFonts w:cstheme="minorHAnsi"/>
          <w:sz w:val="24"/>
          <w:szCs w:val="24"/>
        </w:rPr>
        <w:t>Trustee</w:t>
      </w:r>
      <w:r w:rsidRPr="00954756">
        <w:rPr>
          <w:rFonts w:cstheme="minorHAnsi"/>
          <w:sz w:val="24"/>
          <w:szCs w:val="24"/>
        </w:rPr>
        <w:t>’</w:t>
      </w:r>
      <w:r w:rsidR="00954756" w:rsidRPr="00954756">
        <w:rPr>
          <w:rFonts w:cstheme="minorHAnsi"/>
          <w:sz w:val="24"/>
          <w:szCs w:val="24"/>
        </w:rPr>
        <w:t>s</w:t>
      </w:r>
      <w:r w:rsidRPr="00954756">
        <w:rPr>
          <w:rFonts w:cstheme="minorHAnsi"/>
          <w:sz w:val="24"/>
          <w:szCs w:val="24"/>
        </w:rPr>
        <w:t xml:space="preserve"> investment objectives. The objectives have been </w:t>
      </w:r>
      <w:proofErr w:type="gramStart"/>
      <w:r w:rsidRPr="00954756">
        <w:rPr>
          <w:rFonts w:cstheme="minorHAnsi"/>
          <w:sz w:val="24"/>
          <w:szCs w:val="24"/>
        </w:rPr>
        <w:t>taken into account</w:t>
      </w:r>
      <w:proofErr w:type="gramEnd"/>
      <w:r w:rsidRPr="00954756">
        <w:rPr>
          <w:rFonts w:cstheme="minorHAnsi"/>
          <w:sz w:val="24"/>
          <w:szCs w:val="24"/>
        </w:rPr>
        <w:t xml:space="preserve"> at all stages of planning, implementation and monitoring of the investment strategy.</w:t>
      </w:r>
    </w:p>
    <w:p w14:paraId="4963A41B" w14:textId="4E6B1106" w:rsidR="00B525EF" w:rsidRDefault="00C32A8E" w:rsidP="00C228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pre</w:t>
      </w:r>
      <w:r w:rsidR="00332A6B">
        <w:rPr>
          <w:rFonts w:cstheme="minorHAnsi"/>
          <w:sz w:val="24"/>
          <w:szCs w:val="24"/>
        </w:rPr>
        <w:t xml:space="preserve">paring this Statement, the Trustee has consulted with the Company </w:t>
      </w:r>
      <w:r w:rsidR="00B16B16">
        <w:rPr>
          <w:rFonts w:cstheme="minorHAnsi"/>
          <w:sz w:val="24"/>
          <w:szCs w:val="24"/>
        </w:rPr>
        <w:t>and has taken professional advice from their Investment Consultant (</w:t>
      </w:r>
      <w:proofErr w:type="spellStart"/>
      <w:r w:rsidR="00B16B16">
        <w:rPr>
          <w:rFonts w:cstheme="minorHAnsi"/>
          <w:sz w:val="24"/>
          <w:szCs w:val="24"/>
        </w:rPr>
        <w:t>Isio</w:t>
      </w:r>
      <w:proofErr w:type="spellEnd"/>
      <w:r w:rsidR="00B16B16">
        <w:rPr>
          <w:rFonts w:cstheme="minorHAnsi"/>
          <w:sz w:val="24"/>
          <w:szCs w:val="24"/>
        </w:rPr>
        <w:t xml:space="preserve"> Group Limited/ </w:t>
      </w:r>
      <w:proofErr w:type="spellStart"/>
      <w:r w:rsidR="00B16B16">
        <w:rPr>
          <w:rFonts w:cstheme="minorHAnsi"/>
          <w:sz w:val="24"/>
          <w:szCs w:val="24"/>
        </w:rPr>
        <w:t>Isio</w:t>
      </w:r>
      <w:proofErr w:type="spellEnd"/>
      <w:r w:rsidR="00B16B16">
        <w:rPr>
          <w:rFonts w:cstheme="minorHAnsi"/>
          <w:sz w:val="24"/>
          <w:szCs w:val="24"/>
        </w:rPr>
        <w:t xml:space="preserve"> Services Limited </w:t>
      </w:r>
      <w:r w:rsidR="002E0659">
        <w:rPr>
          <w:rFonts w:cstheme="minorHAnsi"/>
          <w:sz w:val="24"/>
          <w:szCs w:val="24"/>
        </w:rPr>
        <w:t>(“</w:t>
      </w:r>
      <w:proofErr w:type="spellStart"/>
      <w:r w:rsidR="002E0659">
        <w:rPr>
          <w:rFonts w:cstheme="minorHAnsi"/>
          <w:sz w:val="24"/>
          <w:szCs w:val="24"/>
        </w:rPr>
        <w:t>Isio</w:t>
      </w:r>
      <w:proofErr w:type="spellEnd"/>
      <w:r w:rsidR="002E0659">
        <w:rPr>
          <w:rFonts w:cstheme="minorHAnsi"/>
          <w:sz w:val="24"/>
          <w:szCs w:val="24"/>
        </w:rPr>
        <w:t>”</w:t>
      </w:r>
      <w:r w:rsidR="00641FCD">
        <w:rPr>
          <w:rFonts w:cstheme="minorHAnsi"/>
          <w:sz w:val="24"/>
          <w:szCs w:val="24"/>
        </w:rPr>
        <w:t>))</w:t>
      </w:r>
      <w:r w:rsidR="00507DE9">
        <w:rPr>
          <w:rFonts w:cstheme="minorHAnsi"/>
          <w:sz w:val="24"/>
          <w:szCs w:val="24"/>
        </w:rPr>
        <w:t>.</w:t>
      </w:r>
    </w:p>
    <w:p w14:paraId="2CC890C7" w14:textId="0AB4B296" w:rsidR="00BF7F56" w:rsidRPr="008C500A" w:rsidRDefault="00BF7F56" w:rsidP="00C228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of the Fund’s investment arrangements </w:t>
      </w:r>
      <w:r w:rsidR="005E19CE">
        <w:rPr>
          <w:rFonts w:cstheme="minorHAnsi"/>
          <w:sz w:val="24"/>
          <w:szCs w:val="24"/>
        </w:rPr>
        <w:t>are set out in Appendix A.</w:t>
      </w:r>
    </w:p>
    <w:bookmarkEnd w:id="1"/>
    <w:p w14:paraId="727E24E4" w14:textId="56A14A69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Governance</w:t>
      </w:r>
    </w:p>
    <w:p w14:paraId="727E24E5" w14:textId="5FADF1AA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036D8C">
        <w:rPr>
          <w:rFonts w:cstheme="minorHAnsi"/>
          <w:sz w:val="24"/>
          <w:szCs w:val="24"/>
        </w:rPr>
        <w:t xml:space="preserve">The </w:t>
      </w:r>
      <w:r w:rsidR="007A0FA0" w:rsidRPr="00036D8C">
        <w:rPr>
          <w:rFonts w:cstheme="minorHAnsi"/>
          <w:sz w:val="24"/>
          <w:szCs w:val="24"/>
        </w:rPr>
        <w:t>Trustee</w:t>
      </w:r>
      <w:r w:rsidRPr="00036D8C">
        <w:rPr>
          <w:rFonts w:cstheme="minorHAnsi"/>
          <w:sz w:val="24"/>
          <w:szCs w:val="24"/>
        </w:rPr>
        <w:t xml:space="preserve"> of the </w:t>
      </w:r>
      <w:r w:rsidR="007A0FA0" w:rsidRPr="00036D8C">
        <w:rPr>
          <w:rFonts w:cstheme="minorHAnsi"/>
          <w:sz w:val="24"/>
          <w:szCs w:val="24"/>
        </w:rPr>
        <w:t>Fund</w:t>
      </w:r>
      <w:r w:rsidRPr="00036D8C">
        <w:rPr>
          <w:rFonts w:cstheme="minorHAnsi"/>
          <w:sz w:val="24"/>
          <w:szCs w:val="24"/>
        </w:rPr>
        <w:t xml:space="preserve"> make</w:t>
      </w:r>
      <w:r w:rsidR="00036D8C" w:rsidRPr="00036D8C">
        <w:rPr>
          <w:rFonts w:cstheme="minorHAnsi"/>
          <w:sz w:val="24"/>
          <w:szCs w:val="24"/>
        </w:rPr>
        <w:t>s</w:t>
      </w:r>
      <w:r w:rsidRPr="00036D8C">
        <w:rPr>
          <w:rFonts w:cstheme="minorHAnsi"/>
          <w:sz w:val="24"/>
          <w:szCs w:val="24"/>
        </w:rPr>
        <w:t xml:space="preserve"> all major strategic decisions including, but not limited to, the </w:t>
      </w:r>
      <w:r w:rsidR="007A0FA0" w:rsidRPr="00036D8C">
        <w:rPr>
          <w:rFonts w:cstheme="minorHAnsi"/>
          <w:sz w:val="24"/>
          <w:szCs w:val="24"/>
        </w:rPr>
        <w:t>Fund</w:t>
      </w:r>
      <w:r w:rsidRPr="00036D8C">
        <w:rPr>
          <w:rFonts w:cstheme="minorHAnsi"/>
          <w:sz w:val="24"/>
          <w:szCs w:val="24"/>
        </w:rPr>
        <w:t>’s asset allocation and the appointment and termination of investment managers</w:t>
      </w:r>
      <w:r w:rsidRPr="008C500A">
        <w:rPr>
          <w:rFonts w:cstheme="minorHAnsi"/>
          <w:sz w:val="24"/>
          <w:szCs w:val="24"/>
        </w:rPr>
        <w:t>.</w:t>
      </w:r>
    </w:p>
    <w:p w14:paraId="727E24E6" w14:textId="28AB295F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036D8C">
        <w:rPr>
          <w:rFonts w:cstheme="minorHAnsi"/>
          <w:sz w:val="24"/>
          <w:szCs w:val="24"/>
        </w:rPr>
        <w:t xml:space="preserve">When making such decisions, and when appropriate, the </w:t>
      </w:r>
      <w:r w:rsidR="007A0FA0" w:rsidRPr="00036D8C">
        <w:rPr>
          <w:rFonts w:cstheme="minorHAnsi"/>
          <w:sz w:val="24"/>
          <w:szCs w:val="24"/>
        </w:rPr>
        <w:t>Trustee</w:t>
      </w:r>
      <w:r w:rsidRPr="00036D8C">
        <w:rPr>
          <w:rFonts w:cstheme="minorHAnsi"/>
          <w:sz w:val="24"/>
          <w:szCs w:val="24"/>
        </w:rPr>
        <w:t xml:space="preserve"> take</w:t>
      </w:r>
      <w:r w:rsidR="00036D8C" w:rsidRPr="00036D8C">
        <w:rPr>
          <w:rFonts w:cstheme="minorHAnsi"/>
          <w:sz w:val="24"/>
          <w:szCs w:val="24"/>
        </w:rPr>
        <w:t>s</w:t>
      </w:r>
      <w:r w:rsidRPr="00036D8C">
        <w:rPr>
          <w:rFonts w:cstheme="minorHAnsi"/>
          <w:sz w:val="24"/>
          <w:szCs w:val="24"/>
        </w:rPr>
        <w:t xml:space="preserve"> proper written advice. The </w:t>
      </w:r>
      <w:r w:rsidR="007A0FA0" w:rsidRPr="00036D8C">
        <w:rPr>
          <w:rFonts w:cstheme="minorHAnsi"/>
          <w:sz w:val="24"/>
          <w:szCs w:val="24"/>
        </w:rPr>
        <w:t>Trustee</w:t>
      </w:r>
      <w:r w:rsidRPr="00036D8C">
        <w:rPr>
          <w:rFonts w:cstheme="minorHAnsi"/>
          <w:sz w:val="24"/>
          <w:szCs w:val="24"/>
        </w:rPr>
        <w:t xml:space="preserve"> </w:t>
      </w:r>
      <w:r w:rsidR="008C500A" w:rsidRPr="00036D8C">
        <w:rPr>
          <w:rFonts w:cstheme="minorHAnsi"/>
          <w:sz w:val="24"/>
          <w:szCs w:val="24"/>
        </w:rPr>
        <w:t>believe</w:t>
      </w:r>
      <w:r w:rsidR="00036D8C" w:rsidRPr="00036D8C">
        <w:rPr>
          <w:rFonts w:cstheme="minorHAnsi"/>
          <w:sz w:val="24"/>
          <w:szCs w:val="24"/>
        </w:rPr>
        <w:t>s</w:t>
      </w:r>
      <w:r w:rsidR="008C500A" w:rsidRPr="00036D8C">
        <w:rPr>
          <w:rFonts w:cstheme="minorHAnsi"/>
          <w:sz w:val="24"/>
          <w:szCs w:val="24"/>
        </w:rPr>
        <w:t xml:space="preserve"> that </w:t>
      </w:r>
      <w:r w:rsidR="002E0659">
        <w:rPr>
          <w:rFonts w:cstheme="minorHAnsi"/>
          <w:sz w:val="24"/>
          <w:szCs w:val="24"/>
        </w:rPr>
        <w:t>its</w:t>
      </w:r>
      <w:r w:rsidR="002E0659" w:rsidRPr="00036D8C">
        <w:rPr>
          <w:rFonts w:cstheme="minorHAnsi"/>
          <w:sz w:val="24"/>
          <w:szCs w:val="24"/>
        </w:rPr>
        <w:t xml:space="preserve"> </w:t>
      </w:r>
      <w:r w:rsidRPr="00036D8C">
        <w:rPr>
          <w:rFonts w:cstheme="minorHAnsi"/>
          <w:sz w:val="24"/>
          <w:szCs w:val="24"/>
        </w:rPr>
        <w:t xml:space="preserve">investment advisers, </w:t>
      </w:r>
      <w:proofErr w:type="spellStart"/>
      <w:r w:rsidR="00890D92" w:rsidRPr="00036D8C">
        <w:rPr>
          <w:rFonts w:cstheme="minorHAnsi"/>
          <w:sz w:val="24"/>
          <w:szCs w:val="24"/>
        </w:rPr>
        <w:t>Isio</w:t>
      </w:r>
      <w:proofErr w:type="spellEnd"/>
      <w:r w:rsidRPr="00036D8C">
        <w:rPr>
          <w:rFonts w:cstheme="minorHAnsi"/>
          <w:sz w:val="24"/>
          <w:szCs w:val="24"/>
        </w:rPr>
        <w:t xml:space="preserve">, are qualified by their ability in, and practical experience, of financial matters, and have the appropriate knowledge and experience. The investment advisers’ remuneration may be a fixed fee or based on time worked, as negotiated by the </w:t>
      </w:r>
      <w:r w:rsidR="007A0FA0" w:rsidRPr="00036D8C">
        <w:rPr>
          <w:rFonts w:cstheme="minorHAnsi"/>
          <w:sz w:val="24"/>
          <w:szCs w:val="24"/>
        </w:rPr>
        <w:t>Trustee</w:t>
      </w:r>
      <w:r w:rsidRPr="00036D8C">
        <w:rPr>
          <w:rFonts w:cstheme="minorHAnsi"/>
          <w:sz w:val="24"/>
          <w:szCs w:val="24"/>
        </w:rPr>
        <w:t xml:space="preserve"> in the interests of obtaining best value for the </w:t>
      </w:r>
      <w:r w:rsidR="007A0FA0" w:rsidRPr="00036D8C">
        <w:rPr>
          <w:rFonts w:cstheme="minorHAnsi"/>
          <w:sz w:val="24"/>
          <w:szCs w:val="24"/>
        </w:rPr>
        <w:t>Fund</w:t>
      </w:r>
      <w:r w:rsidRPr="00036D8C">
        <w:rPr>
          <w:rFonts w:cstheme="minorHAnsi"/>
          <w:sz w:val="24"/>
          <w:szCs w:val="24"/>
        </w:rPr>
        <w:t>.</w:t>
      </w:r>
    </w:p>
    <w:p w14:paraId="727E24E8" w14:textId="4833D96A" w:rsidR="00C228EC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Investment objectives</w:t>
      </w:r>
    </w:p>
    <w:p w14:paraId="08289AB7" w14:textId="76385C49" w:rsidR="00564E7D" w:rsidRPr="00564E7D" w:rsidRDefault="00564E7D" w:rsidP="00C228E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Fund closed to future accrual on 31 May 2006. </w:t>
      </w:r>
    </w:p>
    <w:p w14:paraId="727E24E9" w14:textId="3806CD0F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6C5D1A">
        <w:rPr>
          <w:rFonts w:cstheme="minorHAnsi"/>
          <w:sz w:val="24"/>
          <w:szCs w:val="24"/>
        </w:rPr>
        <w:t xml:space="preserve">The </w:t>
      </w:r>
      <w:r w:rsidR="007A0FA0" w:rsidRPr="006C5D1A">
        <w:rPr>
          <w:rFonts w:cstheme="minorHAnsi"/>
          <w:sz w:val="24"/>
          <w:szCs w:val="24"/>
        </w:rPr>
        <w:t>Trustee</w:t>
      </w:r>
      <w:r w:rsidRPr="006C5D1A">
        <w:rPr>
          <w:rFonts w:cstheme="minorHAnsi"/>
          <w:sz w:val="24"/>
          <w:szCs w:val="24"/>
        </w:rPr>
        <w:t xml:space="preserve"> invest</w:t>
      </w:r>
      <w:r w:rsidR="006C5D1A" w:rsidRPr="006C5D1A">
        <w:rPr>
          <w:rFonts w:cstheme="minorHAnsi"/>
          <w:sz w:val="24"/>
          <w:szCs w:val="24"/>
        </w:rPr>
        <w:t>s</w:t>
      </w:r>
      <w:r w:rsidRPr="006C5D1A">
        <w:rPr>
          <w:rFonts w:cstheme="minorHAnsi"/>
          <w:sz w:val="24"/>
          <w:szCs w:val="24"/>
        </w:rPr>
        <w:t xml:space="preserve"> the assets of the </w:t>
      </w:r>
      <w:r w:rsidR="007A0FA0" w:rsidRPr="006C5D1A">
        <w:rPr>
          <w:rFonts w:cstheme="minorHAnsi"/>
          <w:sz w:val="24"/>
          <w:szCs w:val="24"/>
        </w:rPr>
        <w:t>Fund</w:t>
      </w:r>
      <w:r w:rsidRPr="006C5D1A">
        <w:rPr>
          <w:rFonts w:cstheme="minorHAnsi"/>
          <w:sz w:val="24"/>
          <w:szCs w:val="24"/>
        </w:rPr>
        <w:t xml:space="preserve"> with the aim of ensuring that all members’ current and future benefits can be paid. The </w:t>
      </w:r>
      <w:r w:rsidR="007A0FA0" w:rsidRPr="006C5D1A">
        <w:rPr>
          <w:rFonts w:cstheme="minorHAnsi"/>
          <w:sz w:val="24"/>
          <w:szCs w:val="24"/>
        </w:rPr>
        <w:t>Fund</w:t>
      </w:r>
      <w:r w:rsidRPr="006C5D1A">
        <w:rPr>
          <w:rFonts w:cstheme="minorHAnsi"/>
          <w:sz w:val="24"/>
          <w:szCs w:val="24"/>
        </w:rPr>
        <w:t>’s funding position</w:t>
      </w:r>
      <w:r w:rsidRPr="008C500A">
        <w:rPr>
          <w:rFonts w:cstheme="minorHAnsi"/>
          <w:sz w:val="24"/>
          <w:szCs w:val="24"/>
        </w:rPr>
        <w:t xml:space="preserve"> will be </w:t>
      </w:r>
      <w:r w:rsidR="00952274">
        <w:rPr>
          <w:rFonts w:cstheme="minorHAnsi"/>
          <w:sz w:val="24"/>
          <w:szCs w:val="24"/>
        </w:rPr>
        <w:t>monitored</w:t>
      </w:r>
      <w:r w:rsidR="00952274" w:rsidRPr="008C500A">
        <w:rPr>
          <w:rFonts w:cstheme="minorHAnsi"/>
          <w:sz w:val="24"/>
          <w:szCs w:val="24"/>
        </w:rPr>
        <w:t xml:space="preserve"> </w:t>
      </w:r>
      <w:r w:rsidR="00500DB6">
        <w:rPr>
          <w:rFonts w:cstheme="minorHAnsi"/>
          <w:sz w:val="24"/>
          <w:szCs w:val="24"/>
        </w:rPr>
        <w:t xml:space="preserve">by the Trustee </w:t>
      </w:r>
      <w:r w:rsidRPr="008C500A">
        <w:rPr>
          <w:rFonts w:cstheme="minorHAnsi"/>
          <w:sz w:val="24"/>
          <w:szCs w:val="24"/>
        </w:rPr>
        <w:t>on an ongoing basis</w:t>
      </w:r>
      <w:r w:rsidR="006D1A8B">
        <w:rPr>
          <w:rFonts w:cstheme="minorHAnsi"/>
          <w:sz w:val="24"/>
          <w:szCs w:val="24"/>
        </w:rPr>
        <w:t xml:space="preserve"> and formally </w:t>
      </w:r>
      <w:r w:rsidR="00500DB6">
        <w:rPr>
          <w:rFonts w:cstheme="minorHAnsi"/>
          <w:sz w:val="24"/>
          <w:szCs w:val="24"/>
        </w:rPr>
        <w:t>reviewed at each trie</w:t>
      </w:r>
      <w:r w:rsidR="00C4426B">
        <w:rPr>
          <w:rFonts w:cstheme="minorHAnsi"/>
          <w:sz w:val="24"/>
          <w:szCs w:val="24"/>
        </w:rPr>
        <w:t>nnial valuation,</w:t>
      </w:r>
      <w:r w:rsidRPr="008C500A">
        <w:rPr>
          <w:rFonts w:cstheme="minorHAnsi"/>
          <w:sz w:val="24"/>
          <w:szCs w:val="24"/>
        </w:rPr>
        <w:t xml:space="preserve"> to assess the position relative to the </w:t>
      </w:r>
      <w:r w:rsidRPr="006C5D1A">
        <w:rPr>
          <w:rFonts w:cstheme="minorHAnsi"/>
          <w:sz w:val="24"/>
          <w:szCs w:val="24"/>
        </w:rPr>
        <w:t xml:space="preserve">funding target and whether the investment arrangements remain appropriate to the </w:t>
      </w:r>
      <w:r w:rsidR="007A0FA0" w:rsidRPr="006C5D1A">
        <w:rPr>
          <w:rFonts w:cstheme="minorHAnsi"/>
          <w:sz w:val="24"/>
          <w:szCs w:val="24"/>
        </w:rPr>
        <w:t>Fund</w:t>
      </w:r>
      <w:r w:rsidRPr="006C5D1A">
        <w:rPr>
          <w:rFonts w:cstheme="minorHAnsi"/>
          <w:sz w:val="24"/>
          <w:szCs w:val="24"/>
        </w:rPr>
        <w:t xml:space="preserve">’s circumstances. </w:t>
      </w:r>
    </w:p>
    <w:p w14:paraId="74326A65" w14:textId="495EE0E7" w:rsidR="006C614D" w:rsidRDefault="00E173D1" w:rsidP="00C228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the Fund is fully funded on </w:t>
      </w:r>
      <w:r w:rsidR="00A37463">
        <w:rPr>
          <w:rFonts w:cstheme="minorHAnsi"/>
          <w:sz w:val="24"/>
          <w:szCs w:val="24"/>
        </w:rPr>
        <w:t>a</w:t>
      </w:r>
      <w:r w:rsidR="008A7F33">
        <w:rPr>
          <w:rFonts w:cstheme="minorHAnsi"/>
          <w:sz w:val="24"/>
          <w:szCs w:val="24"/>
        </w:rPr>
        <w:t>n il</w:t>
      </w:r>
      <w:r w:rsidR="00A31F59">
        <w:rPr>
          <w:rFonts w:cstheme="minorHAnsi"/>
          <w:sz w:val="24"/>
          <w:szCs w:val="24"/>
        </w:rPr>
        <w:t>l</w:t>
      </w:r>
      <w:r w:rsidR="008A7F33">
        <w:rPr>
          <w:rFonts w:cstheme="minorHAnsi"/>
          <w:sz w:val="24"/>
          <w:szCs w:val="24"/>
        </w:rPr>
        <w:t>ustrative</w:t>
      </w:r>
      <w:r w:rsidR="00A37463">
        <w:rPr>
          <w:rFonts w:cstheme="minorHAnsi"/>
          <w:sz w:val="24"/>
          <w:szCs w:val="24"/>
        </w:rPr>
        <w:t xml:space="preserve"> solvency basis, t</w:t>
      </w:r>
      <w:r w:rsidR="00F82107">
        <w:rPr>
          <w:rFonts w:cstheme="minorHAnsi"/>
          <w:sz w:val="24"/>
          <w:szCs w:val="24"/>
        </w:rPr>
        <w:t xml:space="preserve">he Trustee and </w:t>
      </w:r>
      <w:r w:rsidR="00A37463">
        <w:rPr>
          <w:rFonts w:cstheme="minorHAnsi"/>
          <w:sz w:val="24"/>
          <w:szCs w:val="24"/>
        </w:rPr>
        <w:t xml:space="preserve">the </w:t>
      </w:r>
      <w:r w:rsidR="002E0659">
        <w:rPr>
          <w:rFonts w:cstheme="minorHAnsi"/>
          <w:sz w:val="24"/>
          <w:szCs w:val="24"/>
        </w:rPr>
        <w:t xml:space="preserve">Principal Employer of the Fund </w:t>
      </w:r>
      <w:r w:rsidR="00A200D2">
        <w:rPr>
          <w:rFonts w:cstheme="minorHAnsi"/>
          <w:sz w:val="24"/>
          <w:szCs w:val="24"/>
        </w:rPr>
        <w:t xml:space="preserve">has </w:t>
      </w:r>
      <w:r w:rsidR="00F82107">
        <w:rPr>
          <w:rFonts w:cstheme="minorHAnsi"/>
          <w:sz w:val="24"/>
          <w:szCs w:val="24"/>
        </w:rPr>
        <w:t>set an objective to execute a full member buy-in with an insurer over the next 12-24 months</w:t>
      </w:r>
      <w:r w:rsidR="00EB21E9">
        <w:rPr>
          <w:rFonts w:cstheme="minorHAnsi"/>
          <w:sz w:val="24"/>
          <w:szCs w:val="24"/>
        </w:rPr>
        <w:t xml:space="preserve"> prior to executing a full Scheme buy-out over the longer term</w:t>
      </w:r>
      <w:r w:rsidR="00F82107">
        <w:rPr>
          <w:rFonts w:cstheme="minorHAnsi"/>
          <w:sz w:val="24"/>
          <w:szCs w:val="24"/>
        </w:rPr>
        <w:t xml:space="preserve">. </w:t>
      </w:r>
    </w:p>
    <w:p w14:paraId="727E24EC" w14:textId="24EC0E0B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Investment strategy</w:t>
      </w:r>
    </w:p>
    <w:p w14:paraId="727E24ED" w14:textId="68FB1801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The </w:t>
      </w:r>
      <w:r w:rsidR="007A0FA0" w:rsidRPr="00FC2872">
        <w:rPr>
          <w:rFonts w:cstheme="minorHAnsi"/>
          <w:sz w:val="24"/>
          <w:szCs w:val="24"/>
        </w:rPr>
        <w:t>Trustee</w:t>
      </w:r>
      <w:r w:rsidRPr="00FC2872">
        <w:rPr>
          <w:rFonts w:cstheme="minorHAnsi"/>
          <w:sz w:val="24"/>
          <w:szCs w:val="24"/>
        </w:rPr>
        <w:t xml:space="preserve"> take</w:t>
      </w:r>
      <w:r w:rsidR="00FC2872" w:rsidRPr="00FC2872">
        <w:rPr>
          <w:rFonts w:cstheme="minorHAnsi"/>
          <w:sz w:val="24"/>
          <w:szCs w:val="24"/>
        </w:rPr>
        <w:t>s</w:t>
      </w:r>
      <w:r w:rsidRPr="00FC2872">
        <w:rPr>
          <w:rFonts w:cstheme="minorHAnsi"/>
          <w:sz w:val="24"/>
          <w:szCs w:val="24"/>
        </w:rPr>
        <w:t xml:space="preserve"> a holistic approach to considering and managing risks when formulating the </w:t>
      </w:r>
      <w:r w:rsidR="007A0FA0" w:rsidRPr="00FC2872">
        <w:rPr>
          <w:rFonts w:cstheme="minorHAnsi"/>
          <w:sz w:val="24"/>
          <w:szCs w:val="24"/>
        </w:rPr>
        <w:t>Fund</w:t>
      </w:r>
      <w:r w:rsidRPr="00FC2872">
        <w:rPr>
          <w:rFonts w:cstheme="minorHAnsi"/>
          <w:sz w:val="24"/>
          <w:szCs w:val="24"/>
        </w:rPr>
        <w:t>’s investment</w:t>
      </w:r>
      <w:r w:rsidRPr="008C500A">
        <w:rPr>
          <w:rFonts w:cstheme="minorHAnsi"/>
          <w:sz w:val="24"/>
          <w:szCs w:val="24"/>
        </w:rPr>
        <w:t xml:space="preserve"> strategy.</w:t>
      </w:r>
    </w:p>
    <w:p w14:paraId="727E24EE" w14:textId="64DE4CC5" w:rsidR="00C228EC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lastRenderedPageBreak/>
        <w:t xml:space="preserve">The </w:t>
      </w:r>
      <w:r w:rsidR="007A0FA0" w:rsidRPr="00FC2872">
        <w:rPr>
          <w:rFonts w:cstheme="minorHAnsi"/>
          <w:sz w:val="24"/>
          <w:szCs w:val="24"/>
        </w:rPr>
        <w:t>Fund</w:t>
      </w:r>
      <w:r w:rsidRPr="00FC2872">
        <w:rPr>
          <w:rFonts w:cstheme="minorHAnsi"/>
          <w:sz w:val="24"/>
          <w:szCs w:val="24"/>
        </w:rPr>
        <w:t xml:space="preserve">’s investment strategy was derived following careful consideration of the factors set out in Appendix B. The considerations include the nature and duration of the </w:t>
      </w:r>
      <w:r w:rsidR="007A0FA0" w:rsidRPr="00FC2872">
        <w:rPr>
          <w:rFonts w:cstheme="minorHAnsi"/>
          <w:sz w:val="24"/>
          <w:szCs w:val="24"/>
        </w:rPr>
        <w:t>Fund</w:t>
      </w:r>
      <w:r w:rsidRPr="00FC2872">
        <w:rPr>
          <w:rFonts w:cstheme="minorHAnsi"/>
          <w:sz w:val="24"/>
          <w:szCs w:val="24"/>
        </w:rPr>
        <w:t xml:space="preserve">’s liabilities, the risks of investing in the various asset classes, the implications of the strategy (under various scenarios) for the level of employer contributions required to fund the </w:t>
      </w:r>
      <w:r w:rsidR="007A0FA0" w:rsidRPr="00FC2872">
        <w:rPr>
          <w:rFonts w:cstheme="minorHAnsi"/>
          <w:sz w:val="24"/>
          <w:szCs w:val="24"/>
        </w:rPr>
        <w:t>Fund</w:t>
      </w:r>
      <w:r w:rsidRPr="00FC2872">
        <w:rPr>
          <w:rFonts w:cstheme="minorHAnsi"/>
          <w:sz w:val="24"/>
          <w:szCs w:val="24"/>
        </w:rPr>
        <w:t xml:space="preserve">, </w:t>
      </w:r>
      <w:proofErr w:type="gramStart"/>
      <w:r w:rsidRPr="00FC2872">
        <w:rPr>
          <w:rFonts w:cstheme="minorHAnsi"/>
          <w:sz w:val="24"/>
          <w:szCs w:val="24"/>
        </w:rPr>
        <w:t>and also</w:t>
      </w:r>
      <w:proofErr w:type="gramEnd"/>
      <w:r w:rsidRPr="00FC2872">
        <w:rPr>
          <w:rFonts w:cstheme="minorHAnsi"/>
          <w:sz w:val="24"/>
          <w:szCs w:val="24"/>
        </w:rPr>
        <w:t xml:space="preserve"> the strength of the sponsoring company’s covenant. The </w:t>
      </w:r>
      <w:r w:rsidR="007A0FA0" w:rsidRPr="00FC2872">
        <w:rPr>
          <w:rFonts w:cstheme="minorHAnsi"/>
          <w:sz w:val="24"/>
          <w:szCs w:val="24"/>
        </w:rPr>
        <w:t>Trustee</w:t>
      </w:r>
      <w:r w:rsidRPr="00FC2872">
        <w:rPr>
          <w:rFonts w:cstheme="minorHAnsi"/>
          <w:sz w:val="24"/>
          <w:szCs w:val="24"/>
        </w:rPr>
        <w:t xml:space="preserve"> considered the merits of a range of asset classes.</w:t>
      </w:r>
      <w:r w:rsidRPr="008C500A">
        <w:rPr>
          <w:rFonts w:cstheme="minorHAnsi"/>
          <w:sz w:val="24"/>
          <w:szCs w:val="24"/>
        </w:rPr>
        <w:t xml:space="preserve"> </w:t>
      </w:r>
    </w:p>
    <w:p w14:paraId="2E069517" w14:textId="3CFDE17A" w:rsidR="00182B33" w:rsidRDefault="00976991" w:rsidP="00C228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January 2023, the Trustee agreed a new investment strategy, which aimed to materially reduce risk and secure the strong funding position</w:t>
      </w:r>
      <w:r w:rsidR="00182B33">
        <w:rPr>
          <w:rFonts w:cstheme="minorHAnsi"/>
          <w:sz w:val="24"/>
          <w:szCs w:val="24"/>
        </w:rPr>
        <w:t>,</w:t>
      </w:r>
      <w:r w:rsidR="000E474B">
        <w:rPr>
          <w:rFonts w:cstheme="minorHAnsi"/>
          <w:sz w:val="24"/>
          <w:szCs w:val="24"/>
        </w:rPr>
        <w:t xml:space="preserve"> with the view </w:t>
      </w:r>
      <w:r w:rsidR="00182B33">
        <w:rPr>
          <w:rFonts w:cstheme="minorHAnsi"/>
          <w:sz w:val="24"/>
          <w:szCs w:val="24"/>
        </w:rPr>
        <w:t>to transact an insurance buy-</w:t>
      </w:r>
      <w:r w:rsidR="002A1AE9">
        <w:rPr>
          <w:rFonts w:cstheme="minorHAnsi"/>
          <w:sz w:val="24"/>
          <w:szCs w:val="24"/>
        </w:rPr>
        <w:t>in</w:t>
      </w:r>
      <w:r w:rsidR="00182B33">
        <w:rPr>
          <w:rFonts w:cstheme="minorHAnsi"/>
          <w:sz w:val="24"/>
          <w:szCs w:val="24"/>
        </w:rPr>
        <w:t xml:space="preserve"> over the </w:t>
      </w:r>
      <w:r w:rsidR="002A1AE9">
        <w:rPr>
          <w:rFonts w:cstheme="minorHAnsi"/>
          <w:sz w:val="24"/>
          <w:szCs w:val="24"/>
        </w:rPr>
        <w:t xml:space="preserve">short </w:t>
      </w:r>
      <w:r w:rsidR="00182B33">
        <w:rPr>
          <w:rFonts w:cstheme="minorHAnsi"/>
          <w:sz w:val="24"/>
          <w:szCs w:val="24"/>
        </w:rPr>
        <w:t>term</w:t>
      </w:r>
      <w:r>
        <w:rPr>
          <w:rFonts w:cstheme="minorHAnsi"/>
          <w:sz w:val="24"/>
          <w:szCs w:val="24"/>
        </w:rPr>
        <w:t xml:space="preserve">. </w:t>
      </w:r>
    </w:p>
    <w:p w14:paraId="727E24F0" w14:textId="74D02B33" w:rsidR="00C228EC" w:rsidRDefault="00976991" w:rsidP="00C228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new strategy was implemented in February 2023</w:t>
      </w:r>
      <w:r w:rsidR="0032559B">
        <w:rPr>
          <w:rFonts w:cstheme="minorHAnsi"/>
          <w:sz w:val="24"/>
          <w:szCs w:val="24"/>
        </w:rPr>
        <w:t xml:space="preserve">. The new investment strategy invested in physical gilt and cash </w:t>
      </w:r>
      <w:r w:rsidR="004F1176">
        <w:rPr>
          <w:rFonts w:cstheme="minorHAnsi"/>
          <w:sz w:val="24"/>
          <w:szCs w:val="24"/>
        </w:rPr>
        <w:t>mandates with</w:t>
      </w:r>
      <w:r w:rsidR="0032559B">
        <w:rPr>
          <w:rFonts w:cstheme="minorHAnsi"/>
          <w:sz w:val="24"/>
          <w:szCs w:val="24"/>
        </w:rPr>
        <w:t xml:space="preserve"> Legal and General</w:t>
      </w:r>
      <w:r>
        <w:rPr>
          <w:rFonts w:cstheme="minorHAnsi"/>
          <w:sz w:val="24"/>
          <w:szCs w:val="24"/>
        </w:rPr>
        <w:t xml:space="preserve"> </w:t>
      </w:r>
      <w:r w:rsidR="00592DAF">
        <w:rPr>
          <w:rFonts w:cstheme="minorHAnsi"/>
          <w:sz w:val="24"/>
          <w:szCs w:val="24"/>
        </w:rPr>
        <w:t>Investment Manage</w:t>
      </w:r>
      <w:r w:rsidR="00E8038D">
        <w:rPr>
          <w:rFonts w:cstheme="minorHAnsi"/>
          <w:sz w:val="24"/>
          <w:szCs w:val="24"/>
        </w:rPr>
        <w:t xml:space="preserve">ment </w:t>
      </w:r>
      <w:r w:rsidR="004F1176">
        <w:rPr>
          <w:rFonts w:cstheme="minorHAnsi"/>
          <w:sz w:val="24"/>
          <w:szCs w:val="24"/>
        </w:rPr>
        <w:t>(</w:t>
      </w:r>
      <w:r w:rsidR="002E0659">
        <w:rPr>
          <w:rFonts w:cstheme="minorHAnsi"/>
          <w:sz w:val="24"/>
          <w:szCs w:val="24"/>
        </w:rPr>
        <w:t>“</w:t>
      </w:r>
      <w:r w:rsidR="004F1176">
        <w:rPr>
          <w:rFonts w:cstheme="minorHAnsi"/>
          <w:sz w:val="24"/>
          <w:szCs w:val="24"/>
        </w:rPr>
        <w:t>LGIM</w:t>
      </w:r>
      <w:r w:rsidR="002E0659">
        <w:rPr>
          <w:rFonts w:cstheme="minorHAnsi"/>
          <w:sz w:val="24"/>
          <w:szCs w:val="24"/>
        </w:rPr>
        <w:t>”</w:t>
      </w:r>
      <w:r w:rsidR="004F1176">
        <w:rPr>
          <w:rFonts w:cstheme="minorHAnsi"/>
          <w:sz w:val="24"/>
          <w:szCs w:val="24"/>
        </w:rPr>
        <w:t xml:space="preserve">) via the Mobius Life investment platform. </w:t>
      </w:r>
      <w:r w:rsidR="009B62DF">
        <w:rPr>
          <w:rFonts w:cstheme="minorHAnsi"/>
          <w:sz w:val="24"/>
          <w:szCs w:val="24"/>
        </w:rPr>
        <w:t>The LGIM physical gilt portfolio</w:t>
      </w:r>
      <w:r>
        <w:rPr>
          <w:rFonts w:cstheme="minorHAnsi"/>
          <w:sz w:val="24"/>
          <w:szCs w:val="24"/>
        </w:rPr>
        <w:t xml:space="preserve"> aims to hedge 100% of the liabilities</w:t>
      </w:r>
      <w:r w:rsidR="002E0659">
        <w:rPr>
          <w:rFonts w:cstheme="minorHAnsi"/>
          <w:sz w:val="24"/>
          <w:szCs w:val="24"/>
        </w:rPr>
        <w:t xml:space="preserve"> of the Fund</w:t>
      </w:r>
      <w:r w:rsidR="009B62D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on </w:t>
      </w:r>
      <w:r w:rsidR="009B62DF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solvency basis, with </w:t>
      </w:r>
      <w:r w:rsidR="009B62DF">
        <w:rPr>
          <w:rFonts w:cstheme="minorHAnsi"/>
          <w:sz w:val="24"/>
          <w:szCs w:val="24"/>
        </w:rPr>
        <w:t xml:space="preserve">the remaining assets </w:t>
      </w:r>
      <w:r>
        <w:rPr>
          <w:rFonts w:cstheme="minorHAnsi"/>
          <w:sz w:val="24"/>
          <w:szCs w:val="24"/>
        </w:rPr>
        <w:t xml:space="preserve">held in cash. </w:t>
      </w:r>
      <w:r w:rsidR="00C228EC" w:rsidRPr="00DC553B">
        <w:rPr>
          <w:rFonts w:cstheme="minorHAnsi"/>
          <w:sz w:val="24"/>
          <w:szCs w:val="24"/>
        </w:rPr>
        <w:t xml:space="preserve">The assets of the </w:t>
      </w:r>
      <w:r w:rsidR="007A0FA0" w:rsidRPr="00DC553B">
        <w:rPr>
          <w:rFonts w:cstheme="minorHAnsi"/>
          <w:sz w:val="24"/>
          <w:szCs w:val="24"/>
        </w:rPr>
        <w:t>Fund</w:t>
      </w:r>
      <w:r w:rsidR="00C228EC" w:rsidRPr="00DC553B">
        <w:rPr>
          <w:rFonts w:cstheme="minorHAnsi"/>
          <w:sz w:val="24"/>
          <w:szCs w:val="24"/>
        </w:rPr>
        <w:t xml:space="preserve"> </w:t>
      </w:r>
      <w:r w:rsidR="00C228EC" w:rsidRPr="007C6A71">
        <w:rPr>
          <w:rFonts w:cstheme="minorHAnsi"/>
          <w:sz w:val="24"/>
          <w:szCs w:val="24"/>
        </w:rPr>
        <w:t xml:space="preserve">consist predominantly of investments </w:t>
      </w:r>
      <w:r w:rsidR="00C228EC" w:rsidRPr="00DC553B">
        <w:rPr>
          <w:rFonts w:cstheme="minorHAnsi"/>
          <w:sz w:val="24"/>
          <w:szCs w:val="24"/>
        </w:rPr>
        <w:t>which are traded on regulated markets.</w:t>
      </w:r>
    </w:p>
    <w:p w14:paraId="1707CBB1" w14:textId="77777777" w:rsidR="00BA57C3" w:rsidRDefault="00BA57C3" w:rsidP="00BA57C3">
      <w:pPr>
        <w:jc w:val="both"/>
        <w:rPr>
          <w:b/>
          <w:bCs/>
          <w:sz w:val="24"/>
          <w:szCs w:val="24"/>
        </w:rPr>
      </w:pPr>
      <w:r w:rsidRPr="37EDD754">
        <w:rPr>
          <w:b/>
          <w:bCs/>
          <w:sz w:val="24"/>
          <w:szCs w:val="24"/>
        </w:rPr>
        <w:t>Leverage and collateral management</w:t>
      </w:r>
    </w:p>
    <w:p w14:paraId="17E044D1" w14:textId="7802943A" w:rsidR="00BA57C3" w:rsidRPr="007C6A71" w:rsidRDefault="00BA57C3" w:rsidP="00BA57C3">
      <w:pPr>
        <w:jc w:val="both"/>
        <w:rPr>
          <w:sz w:val="24"/>
          <w:szCs w:val="24"/>
        </w:rPr>
      </w:pPr>
      <w:r w:rsidRPr="007C6A71">
        <w:rPr>
          <w:sz w:val="24"/>
          <w:szCs w:val="24"/>
        </w:rPr>
        <w:t xml:space="preserve">The </w:t>
      </w:r>
      <w:r w:rsidR="007A0FA0" w:rsidRPr="007C6A71">
        <w:rPr>
          <w:sz w:val="24"/>
          <w:szCs w:val="24"/>
        </w:rPr>
        <w:t>Trustee</w:t>
      </w:r>
      <w:r w:rsidRPr="007C6A71">
        <w:rPr>
          <w:sz w:val="24"/>
          <w:szCs w:val="24"/>
        </w:rPr>
        <w:t xml:space="preserve"> </w:t>
      </w:r>
      <w:r w:rsidR="00F339CF" w:rsidRPr="007C6A71">
        <w:rPr>
          <w:sz w:val="24"/>
          <w:szCs w:val="24"/>
        </w:rPr>
        <w:t>is</w:t>
      </w:r>
      <w:r w:rsidRPr="007C6A71">
        <w:rPr>
          <w:sz w:val="24"/>
          <w:szCs w:val="24"/>
        </w:rPr>
        <w:t xml:space="preserve"> not required to adhere to regulation or guidance in relation to investing in leveraged liability hedging (</w:t>
      </w:r>
      <w:r w:rsidR="002E0659">
        <w:rPr>
          <w:sz w:val="24"/>
          <w:szCs w:val="24"/>
        </w:rPr>
        <w:t>“</w:t>
      </w:r>
      <w:proofErr w:type="spellStart"/>
      <w:r w:rsidRPr="007C6A71">
        <w:rPr>
          <w:sz w:val="24"/>
          <w:szCs w:val="24"/>
        </w:rPr>
        <w:t>LDI</w:t>
      </w:r>
      <w:proofErr w:type="spellEnd"/>
      <w:r w:rsidR="002E0659">
        <w:rPr>
          <w:sz w:val="24"/>
          <w:szCs w:val="24"/>
        </w:rPr>
        <w:t>”</w:t>
      </w:r>
      <w:r w:rsidRPr="007C6A71">
        <w:rPr>
          <w:sz w:val="24"/>
          <w:szCs w:val="24"/>
        </w:rPr>
        <w:t xml:space="preserve">) portfolios as </w:t>
      </w:r>
      <w:proofErr w:type="gramStart"/>
      <w:r w:rsidRPr="007C6A71">
        <w:rPr>
          <w:sz w:val="24"/>
          <w:szCs w:val="24"/>
        </w:rPr>
        <w:t>all of</w:t>
      </w:r>
      <w:proofErr w:type="gramEnd"/>
      <w:r w:rsidRPr="007C6A71">
        <w:rPr>
          <w:sz w:val="24"/>
          <w:szCs w:val="24"/>
        </w:rPr>
        <w:t xml:space="preserve"> the </w:t>
      </w:r>
      <w:r w:rsidR="007A0FA0" w:rsidRPr="007C6A71">
        <w:rPr>
          <w:sz w:val="24"/>
          <w:szCs w:val="24"/>
        </w:rPr>
        <w:t>Fund</w:t>
      </w:r>
      <w:r w:rsidRPr="007C6A71">
        <w:rPr>
          <w:sz w:val="24"/>
          <w:szCs w:val="24"/>
        </w:rPr>
        <w:t xml:space="preserve">’s </w:t>
      </w:r>
      <w:r w:rsidR="009E27B5">
        <w:rPr>
          <w:sz w:val="24"/>
          <w:szCs w:val="24"/>
        </w:rPr>
        <w:t>gilt</w:t>
      </w:r>
      <w:r w:rsidR="009E27B5" w:rsidRPr="007C6A71">
        <w:rPr>
          <w:sz w:val="24"/>
          <w:szCs w:val="24"/>
        </w:rPr>
        <w:t xml:space="preserve"> </w:t>
      </w:r>
      <w:r w:rsidRPr="007C6A71">
        <w:rPr>
          <w:sz w:val="24"/>
          <w:szCs w:val="24"/>
        </w:rPr>
        <w:t>investments are made on an unleveraged basis.</w:t>
      </w:r>
    </w:p>
    <w:p w14:paraId="727E24F1" w14:textId="772822FC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Investment Management Arrangements</w:t>
      </w:r>
    </w:p>
    <w:p w14:paraId="727E24F2" w14:textId="57E6CB05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FE1DF1">
        <w:rPr>
          <w:rFonts w:cstheme="minorHAnsi"/>
          <w:sz w:val="24"/>
          <w:szCs w:val="24"/>
        </w:rPr>
        <w:t xml:space="preserve">The </w:t>
      </w:r>
      <w:r w:rsidR="007A0FA0" w:rsidRPr="00FE1DF1">
        <w:rPr>
          <w:rFonts w:cstheme="minorHAnsi"/>
          <w:sz w:val="24"/>
          <w:szCs w:val="24"/>
        </w:rPr>
        <w:t>Trustee</w:t>
      </w:r>
      <w:r w:rsidRPr="00FE1DF1">
        <w:rPr>
          <w:rFonts w:cstheme="minorHAnsi"/>
          <w:sz w:val="24"/>
          <w:szCs w:val="24"/>
        </w:rPr>
        <w:t xml:space="preserve"> </w:t>
      </w:r>
      <w:r w:rsidR="00FE1DF1" w:rsidRPr="00FE1DF1">
        <w:rPr>
          <w:rFonts w:cstheme="minorHAnsi"/>
          <w:sz w:val="24"/>
          <w:szCs w:val="24"/>
        </w:rPr>
        <w:t>has</w:t>
      </w:r>
      <w:r w:rsidRPr="00FE1DF1">
        <w:rPr>
          <w:rFonts w:cstheme="minorHAnsi"/>
          <w:sz w:val="24"/>
          <w:szCs w:val="24"/>
        </w:rPr>
        <w:t xml:space="preserve"> appointed </w:t>
      </w:r>
      <w:r w:rsidR="00F4428D">
        <w:rPr>
          <w:rFonts w:cstheme="minorHAnsi"/>
          <w:sz w:val="24"/>
          <w:szCs w:val="24"/>
        </w:rPr>
        <w:t xml:space="preserve">Mobius Life as </w:t>
      </w:r>
      <w:r w:rsidR="00810A03">
        <w:rPr>
          <w:rFonts w:cstheme="minorHAnsi"/>
          <w:sz w:val="24"/>
          <w:szCs w:val="24"/>
        </w:rPr>
        <w:t xml:space="preserve">the </w:t>
      </w:r>
      <w:r w:rsidR="00F4428D">
        <w:rPr>
          <w:rFonts w:cstheme="minorHAnsi"/>
          <w:sz w:val="24"/>
          <w:szCs w:val="24"/>
        </w:rPr>
        <w:t>platform provider</w:t>
      </w:r>
      <w:r w:rsidR="00496B0E">
        <w:rPr>
          <w:rFonts w:cstheme="minorHAnsi"/>
          <w:sz w:val="24"/>
          <w:szCs w:val="24"/>
        </w:rPr>
        <w:t xml:space="preserve"> and </w:t>
      </w:r>
      <w:r w:rsidR="002E0659">
        <w:rPr>
          <w:rFonts w:cstheme="minorHAnsi"/>
          <w:sz w:val="24"/>
          <w:szCs w:val="24"/>
        </w:rPr>
        <w:t>LGIM</w:t>
      </w:r>
      <w:r w:rsidR="00496B0E">
        <w:rPr>
          <w:rFonts w:cstheme="minorHAnsi"/>
          <w:sz w:val="24"/>
          <w:szCs w:val="24"/>
        </w:rPr>
        <w:t xml:space="preserve"> as the underlying investment manager</w:t>
      </w:r>
      <w:r w:rsidR="00C0513C">
        <w:rPr>
          <w:rFonts w:cstheme="minorHAnsi"/>
          <w:sz w:val="24"/>
          <w:szCs w:val="24"/>
        </w:rPr>
        <w:t>, as listed in Appendix A</w:t>
      </w:r>
      <w:r w:rsidR="00810A03">
        <w:rPr>
          <w:rFonts w:cstheme="minorHAnsi"/>
          <w:sz w:val="24"/>
          <w:szCs w:val="24"/>
        </w:rPr>
        <w:t>. Both Mobius Life and the investment manager</w:t>
      </w:r>
      <w:r w:rsidR="00474366">
        <w:rPr>
          <w:rFonts w:cstheme="minorHAnsi"/>
          <w:sz w:val="24"/>
          <w:szCs w:val="24"/>
        </w:rPr>
        <w:t xml:space="preserve"> are</w:t>
      </w:r>
      <w:r w:rsidR="00827ECE">
        <w:rPr>
          <w:rFonts w:cstheme="minorHAnsi"/>
          <w:sz w:val="24"/>
          <w:szCs w:val="24"/>
        </w:rPr>
        <w:t xml:space="preserve"> </w:t>
      </w:r>
      <w:r w:rsidRPr="00FE1DF1">
        <w:rPr>
          <w:rFonts w:cstheme="minorHAnsi"/>
          <w:sz w:val="24"/>
          <w:szCs w:val="24"/>
        </w:rPr>
        <w:t>regulated under the Financial Services and Markets Act 2000.</w:t>
      </w:r>
    </w:p>
    <w:p w14:paraId="727E24F3" w14:textId="315A480C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>All decisions about the day-to-day management of the assets have been delegated to the investment manager via a written agreement. The delegation includes decisions about:</w:t>
      </w:r>
    </w:p>
    <w:p w14:paraId="727E24F4" w14:textId="77777777" w:rsidR="00C228EC" w:rsidRPr="008C500A" w:rsidRDefault="00C228EC" w:rsidP="00C228EC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Selection, retention and realisation of investments including taking into account all financially material considerations in making these </w:t>
      </w:r>
      <w:proofErr w:type="gramStart"/>
      <w:r w:rsidRPr="008C500A">
        <w:rPr>
          <w:rFonts w:cstheme="minorHAnsi"/>
          <w:sz w:val="24"/>
          <w:szCs w:val="24"/>
        </w:rPr>
        <w:t>decisions;</w:t>
      </w:r>
      <w:proofErr w:type="gramEnd"/>
    </w:p>
    <w:p w14:paraId="727E24F5" w14:textId="2DA8CBA9" w:rsidR="00C228EC" w:rsidRPr="00C72B68" w:rsidRDefault="00C228EC" w:rsidP="00C228EC">
      <w:pPr>
        <w:numPr>
          <w:ilvl w:val="0"/>
          <w:numId w:val="1"/>
        </w:numPr>
        <w:contextualSpacing/>
        <w:jc w:val="both"/>
        <w:rPr>
          <w:rFonts w:cstheme="minorHAnsi"/>
          <w:color w:val="FF0000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The exercise of rights (including voting rights) attaching to the </w:t>
      </w:r>
      <w:proofErr w:type="gramStart"/>
      <w:r w:rsidRPr="008C500A">
        <w:rPr>
          <w:rFonts w:cstheme="minorHAnsi"/>
          <w:sz w:val="24"/>
          <w:szCs w:val="24"/>
        </w:rPr>
        <w:t>investments</w:t>
      </w:r>
      <w:r w:rsidR="00D3308D">
        <w:rPr>
          <w:rFonts w:cstheme="minorHAnsi"/>
          <w:sz w:val="24"/>
          <w:szCs w:val="24"/>
        </w:rPr>
        <w:t>;</w:t>
      </w:r>
      <w:proofErr w:type="gramEnd"/>
    </w:p>
    <w:p w14:paraId="727E24F6" w14:textId="1F3741AC" w:rsidR="00C228EC" w:rsidRPr="008C500A" w:rsidRDefault="00C228EC" w:rsidP="00C228EC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>Undertaking engagement activities with investee companies and other stakeholders, where appropriate.</w:t>
      </w:r>
      <w:r w:rsidR="00392E77" w:rsidRPr="008C500A">
        <w:rPr>
          <w:rFonts w:cstheme="minorHAnsi"/>
          <w:sz w:val="24"/>
          <w:szCs w:val="24"/>
        </w:rPr>
        <w:t xml:space="preserve"> </w:t>
      </w:r>
    </w:p>
    <w:p w14:paraId="693D5C23" w14:textId="77777777" w:rsidR="00851B50" w:rsidRPr="008C500A" w:rsidRDefault="00851B50" w:rsidP="00C228EC">
      <w:pPr>
        <w:jc w:val="both"/>
        <w:rPr>
          <w:rFonts w:cstheme="minorHAnsi"/>
          <w:sz w:val="24"/>
          <w:szCs w:val="24"/>
        </w:rPr>
      </w:pPr>
    </w:p>
    <w:p w14:paraId="727E24F7" w14:textId="4451B7F5" w:rsidR="00C228EC" w:rsidRDefault="00C228EC" w:rsidP="00C228EC">
      <w:pPr>
        <w:jc w:val="both"/>
        <w:rPr>
          <w:rFonts w:cstheme="minorHAnsi"/>
          <w:sz w:val="24"/>
          <w:szCs w:val="24"/>
        </w:rPr>
      </w:pPr>
      <w:r w:rsidRPr="00CB5BEE">
        <w:rPr>
          <w:rFonts w:cstheme="minorHAnsi"/>
          <w:sz w:val="24"/>
          <w:szCs w:val="24"/>
        </w:rPr>
        <w:t xml:space="preserve">The </w:t>
      </w:r>
      <w:r w:rsidR="007A0FA0" w:rsidRPr="00CB5BEE">
        <w:rPr>
          <w:rFonts w:cstheme="minorHAnsi"/>
          <w:sz w:val="24"/>
          <w:szCs w:val="24"/>
        </w:rPr>
        <w:t>Trustee</w:t>
      </w:r>
      <w:r w:rsidRPr="00CB5BEE">
        <w:rPr>
          <w:rFonts w:cstheme="minorHAnsi"/>
          <w:sz w:val="24"/>
          <w:szCs w:val="24"/>
        </w:rPr>
        <w:t xml:space="preserve"> take</w:t>
      </w:r>
      <w:r w:rsidR="00C72B68" w:rsidRPr="00CB5BEE">
        <w:rPr>
          <w:rFonts w:cstheme="minorHAnsi"/>
          <w:sz w:val="24"/>
          <w:szCs w:val="24"/>
        </w:rPr>
        <w:t>s</w:t>
      </w:r>
      <w:r w:rsidRPr="00CB5BEE">
        <w:rPr>
          <w:rFonts w:cstheme="minorHAnsi"/>
          <w:sz w:val="24"/>
          <w:szCs w:val="24"/>
        </w:rPr>
        <w:t xml:space="preserve"> investment managers’ policies into account when selecting and monitoring managers. The </w:t>
      </w:r>
      <w:r w:rsidR="007A0FA0" w:rsidRPr="00CB5BEE">
        <w:rPr>
          <w:rFonts w:cstheme="minorHAnsi"/>
          <w:sz w:val="24"/>
          <w:szCs w:val="24"/>
        </w:rPr>
        <w:t>Trustee</w:t>
      </w:r>
      <w:r w:rsidRPr="00CB5BEE">
        <w:rPr>
          <w:rFonts w:cstheme="minorHAnsi"/>
          <w:sz w:val="24"/>
          <w:szCs w:val="24"/>
        </w:rPr>
        <w:t xml:space="preserve"> also </w:t>
      </w:r>
      <w:proofErr w:type="gramStart"/>
      <w:r w:rsidRPr="00CB5BEE">
        <w:rPr>
          <w:rFonts w:cstheme="minorHAnsi"/>
          <w:sz w:val="24"/>
          <w:szCs w:val="24"/>
        </w:rPr>
        <w:t>take</w:t>
      </w:r>
      <w:r w:rsidR="00C72B68" w:rsidRPr="00CB5BEE">
        <w:rPr>
          <w:rFonts w:cstheme="minorHAnsi"/>
          <w:sz w:val="24"/>
          <w:szCs w:val="24"/>
        </w:rPr>
        <w:t>s</w:t>
      </w:r>
      <w:r w:rsidRPr="00CB5BEE">
        <w:rPr>
          <w:rFonts w:cstheme="minorHAnsi"/>
          <w:sz w:val="24"/>
          <w:szCs w:val="24"/>
        </w:rPr>
        <w:t xml:space="preserve"> into account</w:t>
      </w:r>
      <w:proofErr w:type="gramEnd"/>
      <w:r w:rsidRPr="00CB5BEE">
        <w:rPr>
          <w:rFonts w:cstheme="minorHAnsi"/>
          <w:sz w:val="24"/>
          <w:szCs w:val="24"/>
        </w:rPr>
        <w:t xml:space="preserve"> the performance targets the investment managers are evaluated on. The investment managers are expected to exercise powers of investment delegated to them, with a view to following the principles contained within this statement, so far as is reasonably practicable.</w:t>
      </w:r>
      <w:r w:rsidRPr="008C500A">
        <w:rPr>
          <w:rFonts w:cstheme="minorHAnsi"/>
          <w:sz w:val="24"/>
          <w:szCs w:val="24"/>
        </w:rPr>
        <w:t xml:space="preserve"> </w:t>
      </w:r>
    </w:p>
    <w:p w14:paraId="0E0B1609" w14:textId="3F99D7EE" w:rsidR="002C0C29" w:rsidRPr="008C500A" w:rsidRDefault="002C0C29" w:rsidP="00C228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investment </w:t>
      </w:r>
      <w:r w:rsidR="00465D62">
        <w:rPr>
          <w:rFonts w:cstheme="minorHAnsi"/>
          <w:sz w:val="24"/>
          <w:szCs w:val="24"/>
        </w:rPr>
        <w:t>platform</w:t>
      </w:r>
      <w:r w:rsidR="00854748">
        <w:rPr>
          <w:rFonts w:cstheme="minorHAnsi"/>
          <w:sz w:val="24"/>
          <w:szCs w:val="24"/>
        </w:rPr>
        <w:t xml:space="preserve"> and underlying investment manager’s</w:t>
      </w:r>
      <w:r>
        <w:rPr>
          <w:rFonts w:cstheme="minorHAnsi"/>
          <w:sz w:val="24"/>
          <w:szCs w:val="24"/>
        </w:rPr>
        <w:t xml:space="preserve"> remuneration is based upon a percentage value of assets under management. </w:t>
      </w:r>
    </w:p>
    <w:p w14:paraId="727E24F8" w14:textId="7321687E" w:rsidR="00C228EC" w:rsidRPr="00FD03D8" w:rsidRDefault="00C228EC" w:rsidP="00C228E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D03D8">
        <w:rPr>
          <w:rFonts w:cstheme="minorHAnsi"/>
          <w:color w:val="000000" w:themeColor="text1"/>
          <w:sz w:val="24"/>
          <w:szCs w:val="24"/>
        </w:rPr>
        <w:lastRenderedPageBreak/>
        <w:t xml:space="preserve">As the </w:t>
      </w:r>
      <w:r w:rsidR="007A0FA0" w:rsidRPr="00FD03D8">
        <w:rPr>
          <w:rFonts w:cstheme="minorHAnsi"/>
          <w:color w:val="000000" w:themeColor="text1"/>
          <w:sz w:val="24"/>
          <w:szCs w:val="24"/>
        </w:rPr>
        <w:t>Fund</w:t>
      </w:r>
      <w:r w:rsidRPr="00FD03D8">
        <w:rPr>
          <w:rFonts w:cstheme="minorHAnsi"/>
          <w:color w:val="000000" w:themeColor="text1"/>
          <w:sz w:val="24"/>
          <w:szCs w:val="24"/>
        </w:rPr>
        <w:t xml:space="preserve">’s assets are invested in pooled vehicles, the custody of the holdings is arranged by the investment manager. </w:t>
      </w:r>
    </w:p>
    <w:p w14:paraId="727E24FB" w14:textId="14BAC528" w:rsidR="00C228EC" w:rsidRPr="008C500A" w:rsidRDefault="00183391" w:rsidP="00C228EC">
      <w:pPr>
        <w:jc w:val="both"/>
        <w:rPr>
          <w:rFonts w:cstheme="minorHAnsi"/>
          <w:b/>
          <w:color w:val="FF0000"/>
          <w:sz w:val="24"/>
          <w:szCs w:val="24"/>
        </w:rPr>
      </w:pPr>
      <w:r w:rsidRPr="005E19CE">
        <w:rPr>
          <w:rFonts w:cstheme="minorHAnsi"/>
          <w:b/>
          <w:sz w:val="24"/>
          <w:szCs w:val="24"/>
        </w:rPr>
        <w:t>I</w:t>
      </w:r>
      <w:r w:rsidR="00C228EC" w:rsidRPr="005E19CE">
        <w:rPr>
          <w:rFonts w:cstheme="minorHAnsi"/>
          <w:b/>
          <w:sz w:val="24"/>
          <w:szCs w:val="24"/>
        </w:rPr>
        <w:t>nvestment Manager Monitoring and Engagement</w:t>
      </w:r>
      <w:r w:rsidR="00C228EC" w:rsidRPr="008C500A">
        <w:rPr>
          <w:rFonts w:cstheme="minorHAnsi"/>
          <w:b/>
          <w:sz w:val="24"/>
          <w:szCs w:val="24"/>
        </w:rPr>
        <w:t xml:space="preserve"> </w:t>
      </w:r>
    </w:p>
    <w:p w14:paraId="1E657526" w14:textId="19513B9E" w:rsidR="00671ACD" w:rsidRDefault="00C228EC" w:rsidP="00C228EC">
      <w:pPr>
        <w:jc w:val="both"/>
        <w:rPr>
          <w:rFonts w:cstheme="minorHAnsi"/>
          <w:sz w:val="24"/>
          <w:szCs w:val="24"/>
        </w:rPr>
      </w:pPr>
      <w:r w:rsidRPr="00FD03D8">
        <w:rPr>
          <w:rFonts w:cstheme="minorHAnsi"/>
          <w:sz w:val="24"/>
          <w:szCs w:val="24"/>
        </w:rPr>
        <w:t xml:space="preserve">The </w:t>
      </w:r>
      <w:r w:rsidR="007A0FA0" w:rsidRPr="00FD03D8">
        <w:rPr>
          <w:rFonts w:cstheme="minorHAnsi"/>
          <w:sz w:val="24"/>
          <w:szCs w:val="24"/>
        </w:rPr>
        <w:t>Trustee</w:t>
      </w:r>
      <w:r w:rsidRPr="00FD03D8">
        <w:rPr>
          <w:rFonts w:cstheme="minorHAnsi"/>
          <w:sz w:val="24"/>
          <w:szCs w:val="24"/>
        </w:rPr>
        <w:t xml:space="preserve"> monitor</w:t>
      </w:r>
      <w:r w:rsidR="00FD03D8" w:rsidRPr="00FD03D8">
        <w:rPr>
          <w:rFonts w:cstheme="minorHAnsi"/>
          <w:sz w:val="24"/>
          <w:szCs w:val="24"/>
        </w:rPr>
        <w:t>s</w:t>
      </w:r>
      <w:r w:rsidRPr="00FD03D8">
        <w:rPr>
          <w:rFonts w:cstheme="minorHAnsi"/>
          <w:sz w:val="24"/>
          <w:szCs w:val="24"/>
        </w:rPr>
        <w:t xml:space="preserve"> and engage</w:t>
      </w:r>
      <w:r w:rsidR="00FD03D8" w:rsidRPr="00FD03D8">
        <w:rPr>
          <w:rFonts w:cstheme="minorHAnsi"/>
          <w:sz w:val="24"/>
          <w:szCs w:val="24"/>
        </w:rPr>
        <w:t>s</w:t>
      </w:r>
      <w:r w:rsidRPr="00FD03D8">
        <w:rPr>
          <w:rFonts w:cstheme="minorHAnsi"/>
          <w:sz w:val="24"/>
          <w:szCs w:val="24"/>
        </w:rPr>
        <w:t xml:space="preserve"> with the </w:t>
      </w:r>
      <w:r w:rsidR="007A0FA0" w:rsidRPr="00FD03D8">
        <w:rPr>
          <w:rFonts w:cstheme="minorHAnsi"/>
          <w:sz w:val="24"/>
          <w:szCs w:val="24"/>
        </w:rPr>
        <w:t>Fund</w:t>
      </w:r>
      <w:r w:rsidRPr="00FD03D8">
        <w:rPr>
          <w:rFonts w:cstheme="minorHAnsi"/>
          <w:sz w:val="24"/>
          <w:szCs w:val="24"/>
        </w:rPr>
        <w:t xml:space="preserve">’s investment managers and other stakeholders on a variety of issues. Below is a summary of the areas covered and how the </w:t>
      </w:r>
      <w:r w:rsidR="007A0FA0" w:rsidRPr="00FD03D8">
        <w:rPr>
          <w:rFonts w:cstheme="minorHAnsi"/>
          <w:sz w:val="24"/>
          <w:szCs w:val="24"/>
        </w:rPr>
        <w:t>Trustee</w:t>
      </w:r>
      <w:r w:rsidRPr="00FD03D8">
        <w:rPr>
          <w:rFonts w:cstheme="minorHAnsi"/>
          <w:sz w:val="24"/>
          <w:szCs w:val="24"/>
        </w:rPr>
        <w:t xml:space="preserve"> seek</w:t>
      </w:r>
      <w:r w:rsidR="00FD03D8" w:rsidRPr="00FD03D8">
        <w:rPr>
          <w:rFonts w:cstheme="minorHAnsi"/>
          <w:sz w:val="24"/>
          <w:szCs w:val="24"/>
        </w:rPr>
        <w:t>s</w:t>
      </w:r>
      <w:r w:rsidRPr="00FD03D8">
        <w:rPr>
          <w:rFonts w:cstheme="minorHAnsi"/>
          <w:sz w:val="24"/>
          <w:szCs w:val="24"/>
        </w:rPr>
        <w:t xml:space="preserve"> to engage on these matters with investment managers</w:t>
      </w:r>
      <w:r w:rsidRPr="008C500A">
        <w:rPr>
          <w:rFonts w:cstheme="minorHAnsi"/>
          <w:sz w:val="24"/>
          <w:szCs w:val="24"/>
        </w:rPr>
        <w:t>.</w:t>
      </w:r>
    </w:p>
    <w:p w14:paraId="2CE51537" w14:textId="77777777" w:rsidR="00671ACD" w:rsidRPr="008C500A" w:rsidRDefault="00671ACD" w:rsidP="00C228EC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4254"/>
        <w:gridCol w:w="3055"/>
      </w:tblGrid>
      <w:tr w:rsidR="00C228EC" w:rsidRPr="008C500A" w14:paraId="727E2500" w14:textId="77777777" w:rsidTr="00FD03D8">
        <w:tc>
          <w:tcPr>
            <w:tcW w:w="1603" w:type="dxa"/>
            <w:vAlign w:val="center"/>
          </w:tcPr>
          <w:p w14:paraId="727E24FD" w14:textId="77777777" w:rsidR="00C228EC" w:rsidRPr="008C500A" w:rsidRDefault="00C228EC" w:rsidP="00FD03D8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Areas for engagement</w:t>
            </w:r>
          </w:p>
        </w:tc>
        <w:tc>
          <w:tcPr>
            <w:tcW w:w="4346" w:type="dxa"/>
            <w:vAlign w:val="center"/>
          </w:tcPr>
          <w:p w14:paraId="727E24FE" w14:textId="14540045" w:rsidR="00C228EC" w:rsidRPr="008C500A" w:rsidRDefault="00C228EC" w:rsidP="00FD03D8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Method for monitoring and engagement</w:t>
            </w:r>
          </w:p>
        </w:tc>
        <w:tc>
          <w:tcPr>
            <w:tcW w:w="3067" w:type="dxa"/>
          </w:tcPr>
          <w:p w14:paraId="727E24FF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Circumstances for additional monitoring and engagement</w:t>
            </w:r>
          </w:p>
        </w:tc>
      </w:tr>
      <w:tr w:rsidR="00C228EC" w:rsidRPr="008C500A" w14:paraId="727E2509" w14:textId="77777777" w:rsidTr="007A1A05">
        <w:trPr>
          <w:trHeight w:val="4191"/>
        </w:trPr>
        <w:tc>
          <w:tcPr>
            <w:tcW w:w="1603" w:type="dxa"/>
          </w:tcPr>
          <w:p w14:paraId="727E2501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Performance,</w:t>
            </w:r>
          </w:p>
          <w:p w14:paraId="727E2502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Strategy and Risk</w:t>
            </w:r>
          </w:p>
          <w:p w14:paraId="727E2503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46" w:type="dxa"/>
          </w:tcPr>
          <w:p w14:paraId="727E2504" w14:textId="059721A4" w:rsidR="00C228EC" w:rsidRPr="00671ACD" w:rsidRDefault="00C228EC" w:rsidP="00C228EC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671ACD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671ACD">
              <w:rPr>
                <w:rFonts w:cstheme="minorHAnsi"/>
                <w:sz w:val="24"/>
                <w:szCs w:val="24"/>
              </w:rPr>
              <w:t>Trustee</w:t>
            </w:r>
            <w:r w:rsidRPr="00671ACD">
              <w:rPr>
                <w:rFonts w:cstheme="minorHAnsi"/>
                <w:sz w:val="24"/>
                <w:szCs w:val="24"/>
              </w:rPr>
              <w:t xml:space="preserve"> receive</w:t>
            </w:r>
            <w:r w:rsidR="002E0659">
              <w:rPr>
                <w:rFonts w:cstheme="minorHAnsi"/>
                <w:sz w:val="24"/>
                <w:szCs w:val="24"/>
              </w:rPr>
              <w:t>s</w:t>
            </w:r>
            <w:r w:rsidRPr="00671ACD">
              <w:rPr>
                <w:rFonts w:cstheme="minorHAnsi"/>
                <w:sz w:val="24"/>
                <w:szCs w:val="24"/>
              </w:rPr>
              <w:t xml:space="preserve"> a </w:t>
            </w:r>
            <w:r w:rsidR="00DF74DE">
              <w:rPr>
                <w:rFonts w:cstheme="minorHAnsi"/>
                <w:sz w:val="24"/>
                <w:szCs w:val="24"/>
              </w:rPr>
              <w:t>six-</w:t>
            </w:r>
            <w:proofErr w:type="gramStart"/>
            <w:r w:rsidR="00DF74DE">
              <w:rPr>
                <w:rFonts w:cstheme="minorHAnsi"/>
                <w:sz w:val="24"/>
                <w:szCs w:val="24"/>
              </w:rPr>
              <w:t xml:space="preserve">monthly </w:t>
            </w:r>
            <w:r w:rsidRPr="00671ACD">
              <w:rPr>
                <w:rFonts w:cstheme="minorHAnsi"/>
                <w:sz w:val="24"/>
                <w:szCs w:val="24"/>
              </w:rPr>
              <w:t xml:space="preserve"> performance</w:t>
            </w:r>
            <w:proofErr w:type="gramEnd"/>
            <w:r w:rsidRPr="00671ACD">
              <w:rPr>
                <w:rFonts w:cstheme="minorHAnsi"/>
                <w:sz w:val="24"/>
                <w:szCs w:val="24"/>
              </w:rPr>
              <w:t xml:space="preserve"> report which details information on the underlying investments’ performance, strategy and overall risks, which are considered </w:t>
            </w:r>
            <w:r w:rsidR="00671ACD">
              <w:rPr>
                <w:rFonts w:cstheme="minorHAnsi"/>
                <w:sz w:val="24"/>
                <w:szCs w:val="24"/>
              </w:rPr>
              <w:t>by the Trustee.</w:t>
            </w:r>
          </w:p>
          <w:p w14:paraId="727E2505" w14:textId="74781F39" w:rsidR="00C228EC" w:rsidRPr="008C500A" w:rsidRDefault="00C228EC" w:rsidP="000F6909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</w:tcPr>
          <w:p w14:paraId="727E2506" w14:textId="77777777" w:rsidR="00C228EC" w:rsidRPr="008C500A" w:rsidRDefault="00C228EC" w:rsidP="00C228EC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There are significant changes made to the investment strategy.</w:t>
            </w:r>
          </w:p>
          <w:p w14:paraId="727E2507" w14:textId="5C25307E" w:rsidR="00C228EC" w:rsidRPr="008C500A" w:rsidRDefault="00C228EC" w:rsidP="00C228EC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risk levels within the assets managed by the investment managers have increased to a level above and beyond </w:t>
            </w:r>
            <w:r w:rsidRPr="00671ACD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671ACD">
              <w:rPr>
                <w:rFonts w:cstheme="minorHAnsi"/>
                <w:sz w:val="24"/>
                <w:szCs w:val="24"/>
              </w:rPr>
              <w:t>Trustee</w:t>
            </w:r>
            <w:r w:rsidRPr="00671ACD">
              <w:rPr>
                <w:rFonts w:cstheme="minorHAnsi"/>
                <w:sz w:val="24"/>
                <w:szCs w:val="24"/>
              </w:rPr>
              <w:t>’</w:t>
            </w:r>
            <w:r w:rsidR="00671ACD">
              <w:rPr>
                <w:rFonts w:cstheme="minorHAnsi"/>
                <w:sz w:val="24"/>
                <w:szCs w:val="24"/>
              </w:rPr>
              <w:t>s</w:t>
            </w:r>
            <w:r w:rsidRPr="008C500A">
              <w:rPr>
                <w:rFonts w:cstheme="minorHAnsi"/>
                <w:sz w:val="24"/>
                <w:szCs w:val="24"/>
              </w:rPr>
              <w:t xml:space="preserve"> expectations.</w:t>
            </w:r>
          </w:p>
          <w:p w14:paraId="727E2508" w14:textId="77777777" w:rsidR="00C228EC" w:rsidRPr="008C500A" w:rsidRDefault="00C228EC" w:rsidP="00C228EC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0F6909">
              <w:rPr>
                <w:rFonts w:cstheme="minorHAnsi"/>
                <w:sz w:val="24"/>
                <w:szCs w:val="24"/>
              </w:rPr>
              <w:t>Underperformance vs the performance objective over the period that this objective applies.</w:t>
            </w:r>
            <w:r w:rsidRPr="008C500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28EC" w:rsidRPr="008C500A" w14:paraId="727E2510" w14:textId="77777777" w:rsidTr="00140EE5">
        <w:trPr>
          <w:trHeight w:val="699"/>
        </w:trPr>
        <w:tc>
          <w:tcPr>
            <w:tcW w:w="1603" w:type="dxa"/>
          </w:tcPr>
          <w:p w14:paraId="727E250A" w14:textId="77777777" w:rsidR="00C228EC" w:rsidRPr="00CE3512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CE3512">
              <w:rPr>
                <w:rFonts w:cstheme="minorHAnsi"/>
                <w:sz w:val="24"/>
                <w:szCs w:val="24"/>
              </w:rPr>
              <w:t xml:space="preserve">Environmental, Social, Corporate Governance factors and the </w:t>
            </w:r>
          </w:p>
          <w:p w14:paraId="727E250B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CE3512">
              <w:rPr>
                <w:rFonts w:cstheme="minorHAnsi"/>
                <w:sz w:val="24"/>
                <w:szCs w:val="24"/>
              </w:rPr>
              <w:t>exercising of rights</w:t>
            </w:r>
          </w:p>
        </w:tc>
        <w:tc>
          <w:tcPr>
            <w:tcW w:w="4346" w:type="dxa"/>
          </w:tcPr>
          <w:p w14:paraId="727E250C" w14:textId="39930008" w:rsidR="00C228EC" w:rsidRPr="00B772CC" w:rsidRDefault="00C228EC" w:rsidP="00C228EC">
            <w:pPr>
              <w:numPr>
                <w:ilvl w:val="0"/>
                <w:numId w:val="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B772CC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B772CC">
              <w:rPr>
                <w:rFonts w:cstheme="minorHAnsi"/>
                <w:sz w:val="24"/>
                <w:szCs w:val="24"/>
              </w:rPr>
              <w:t>Trustee</w:t>
            </w:r>
            <w:r w:rsidRPr="00B772CC">
              <w:rPr>
                <w:rFonts w:cstheme="minorHAnsi"/>
                <w:sz w:val="24"/>
                <w:szCs w:val="24"/>
              </w:rPr>
              <w:t>’</w:t>
            </w:r>
            <w:r w:rsidR="00124C7E">
              <w:rPr>
                <w:rFonts w:cstheme="minorHAnsi"/>
                <w:sz w:val="24"/>
                <w:szCs w:val="24"/>
              </w:rPr>
              <w:t>s</w:t>
            </w:r>
            <w:r w:rsidRPr="00B772CC">
              <w:rPr>
                <w:rFonts w:cstheme="minorHAnsi"/>
                <w:sz w:val="24"/>
                <w:szCs w:val="24"/>
              </w:rPr>
              <w:t xml:space="preserve"> investment managers provide annual reports on how they have engaged with issuers regarding social, </w:t>
            </w:r>
            <w:proofErr w:type="gramStart"/>
            <w:r w:rsidRPr="00B772CC">
              <w:rPr>
                <w:rFonts w:cstheme="minorHAnsi"/>
                <w:sz w:val="24"/>
                <w:szCs w:val="24"/>
              </w:rPr>
              <w:t>environmental</w:t>
            </w:r>
            <w:proofErr w:type="gramEnd"/>
            <w:r w:rsidRPr="00B772CC">
              <w:rPr>
                <w:rFonts w:cstheme="minorHAnsi"/>
                <w:sz w:val="24"/>
                <w:szCs w:val="24"/>
              </w:rPr>
              <w:t xml:space="preserve"> and corporate governance issues.</w:t>
            </w:r>
          </w:p>
          <w:p w14:paraId="32516C00" w14:textId="69999150" w:rsidR="00C228EC" w:rsidRPr="00B772CC" w:rsidRDefault="00C228EC" w:rsidP="00C228EC">
            <w:pPr>
              <w:numPr>
                <w:ilvl w:val="0"/>
                <w:numId w:val="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B772CC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B772CC">
              <w:rPr>
                <w:rFonts w:cstheme="minorHAnsi"/>
                <w:sz w:val="24"/>
                <w:szCs w:val="24"/>
              </w:rPr>
              <w:t>Trustee</w:t>
            </w:r>
            <w:r w:rsidRPr="00B772CC">
              <w:rPr>
                <w:rFonts w:cstheme="minorHAnsi"/>
                <w:sz w:val="24"/>
                <w:szCs w:val="24"/>
              </w:rPr>
              <w:t xml:space="preserve"> receive information from their investment advisers on the investment managers’ approaches to engagement. </w:t>
            </w:r>
          </w:p>
          <w:p w14:paraId="727E250D" w14:textId="2A47335C" w:rsidR="00951A5A" w:rsidRPr="008C500A" w:rsidRDefault="00951A5A" w:rsidP="000F6909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</w:tcPr>
          <w:p w14:paraId="727E250E" w14:textId="4DE339A3" w:rsidR="00C228EC" w:rsidRPr="00B772CC" w:rsidRDefault="00C228EC" w:rsidP="00C228EC">
            <w:pPr>
              <w:numPr>
                <w:ilvl w:val="0"/>
                <w:numId w:val="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B772CC">
              <w:rPr>
                <w:rFonts w:cstheme="minorHAnsi"/>
                <w:sz w:val="24"/>
                <w:szCs w:val="24"/>
              </w:rPr>
              <w:t>The manager has not acted in accordance with their policies and frameworks</w:t>
            </w:r>
            <w:r w:rsidR="00951A5A" w:rsidRPr="00B772CC">
              <w:rPr>
                <w:rFonts w:cstheme="minorHAnsi"/>
                <w:sz w:val="24"/>
                <w:szCs w:val="24"/>
              </w:rPr>
              <w:t xml:space="preserve"> (including stewardship priorities)</w:t>
            </w:r>
            <w:r w:rsidRPr="00B772CC">
              <w:rPr>
                <w:rFonts w:cstheme="minorHAnsi"/>
                <w:sz w:val="24"/>
                <w:szCs w:val="24"/>
              </w:rPr>
              <w:t>.</w:t>
            </w:r>
          </w:p>
          <w:p w14:paraId="727E250F" w14:textId="1884FC6B" w:rsidR="00C228EC" w:rsidRPr="008C500A" w:rsidRDefault="00C228EC" w:rsidP="000F6909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727E2511" w14:textId="77777777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</w:p>
    <w:p w14:paraId="727E2512" w14:textId="77F579A2" w:rsidR="00C228EC" w:rsidRDefault="00C228EC" w:rsidP="00C228EC">
      <w:pPr>
        <w:jc w:val="both"/>
        <w:rPr>
          <w:rFonts w:cstheme="minorHAnsi"/>
          <w:sz w:val="24"/>
          <w:szCs w:val="24"/>
        </w:rPr>
      </w:pPr>
      <w:r w:rsidRPr="00EA2D30">
        <w:rPr>
          <w:rFonts w:cstheme="minorHAnsi"/>
          <w:sz w:val="24"/>
          <w:szCs w:val="24"/>
        </w:rPr>
        <w:t xml:space="preserve">Through the engagement described above, the </w:t>
      </w:r>
      <w:r w:rsidR="007A0FA0" w:rsidRPr="00EA2D30">
        <w:rPr>
          <w:rFonts w:cstheme="minorHAnsi"/>
          <w:sz w:val="24"/>
          <w:szCs w:val="24"/>
        </w:rPr>
        <w:t>Trustee</w:t>
      </w:r>
      <w:r w:rsidRPr="00EA2D30">
        <w:rPr>
          <w:rFonts w:cstheme="minorHAnsi"/>
          <w:sz w:val="24"/>
          <w:szCs w:val="24"/>
        </w:rPr>
        <w:t xml:space="preserve"> will work with the investment managers to improve their alignment with the above policies. Where sufficient improvement is not observed, the </w:t>
      </w:r>
      <w:r w:rsidR="007A0FA0" w:rsidRPr="00EA2D30">
        <w:rPr>
          <w:rFonts w:cstheme="minorHAnsi"/>
          <w:sz w:val="24"/>
          <w:szCs w:val="24"/>
        </w:rPr>
        <w:t>Trustee</w:t>
      </w:r>
      <w:r w:rsidRPr="00EA2D30">
        <w:rPr>
          <w:rFonts w:cstheme="minorHAnsi"/>
          <w:sz w:val="24"/>
          <w:szCs w:val="24"/>
        </w:rPr>
        <w:t xml:space="preserve"> will review the relevant investment manager’s appointment and will consider terminating the arrangement.</w:t>
      </w:r>
    </w:p>
    <w:p w14:paraId="1F483D1B" w14:textId="315CF506" w:rsidR="00B23659" w:rsidRDefault="00B23659" w:rsidP="00C228EC">
      <w:pPr>
        <w:jc w:val="both"/>
        <w:rPr>
          <w:rFonts w:cstheme="minorHAnsi"/>
          <w:sz w:val="24"/>
          <w:szCs w:val="24"/>
        </w:rPr>
      </w:pPr>
    </w:p>
    <w:p w14:paraId="5630B434" w14:textId="257E249B" w:rsidR="00B23659" w:rsidRDefault="00B23659" w:rsidP="00C228EC">
      <w:pPr>
        <w:jc w:val="both"/>
        <w:rPr>
          <w:rFonts w:cstheme="minorHAnsi"/>
          <w:sz w:val="24"/>
          <w:szCs w:val="24"/>
        </w:rPr>
      </w:pPr>
    </w:p>
    <w:p w14:paraId="734F0F7E" w14:textId="77777777" w:rsidR="00B23659" w:rsidRDefault="00B23659" w:rsidP="00C228EC">
      <w:pPr>
        <w:jc w:val="both"/>
        <w:rPr>
          <w:rFonts w:cstheme="minorHAnsi"/>
          <w:sz w:val="24"/>
          <w:szCs w:val="24"/>
        </w:rPr>
      </w:pPr>
    </w:p>
    <w:p w14:paraId="727E2513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Employer-related investments</w:t>
      </w:r>
    </w:p>
    <w:p w14:paraId="41D81749" w14:textId="5059DCC8" w:rsidR="007D1DB5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3956A7">
        <w:rPr>
          <w:rFonts w:cstheme="minorHAnsi"/>
          <w:sz w:val="24"/>
          <w:szCs w:val="24"/>
        </w:rPr>
        <w:t xml:space="preserve">The policy of the </w:t>
      </w:r>
      <w:r w:rsidR="007A0FA0" w:rsidRPr="003956A7">
        <w:rPr>
          <w:rFonts w:cstheme="minorHAnsi"/>
          <w:sz w:val="24"/>
          <w:szCs w:val="24"/>
        </w:rPr>
        <w:t>Trustee</w:t>
      </w:r>
      <w:r w:rsidRPr="003956A7">
        <w:rPr>
          <w:rFonts w:cstheme="minorHAnsi"/>
          <w:sz w:val="24"/>
          <w:szCs w:val="24"/>
        </w:rPr>
        <w:t xml:space="preserve"> is not to hold any employer-related investments as defined in the Pensions Act 1995 and the Occupational Pension </w:t>
      </w:r>
      <w:r w:rsidR="007A0FA0" w:rsidRPr="003956A7">
        <w:rPr>
          <w:rFonts w:cstheme="minorHAnsi"/>
          <w:sz w:val="24"/>
          <w:szCs w:val="24"/>
        </w:rPr>
        <w:t>Fund</w:t>
      </w:r>
      <w:r w:rsidRPr="003956A7">
        <w:rPr>
          <w:rFonts w:cstheme="minorHAnsi"/>
          <w:sz w:val="24"/>
          <w:szCs w:val="24"/>
        </w:rPr>
        <w:t xml:space="preserve">s (Investment) Regulations 2005 except where the </w:t>
      </w:r>
      <w:r w:rsidR="007A0FA0" w:rsidRPr="003956A7">
        <w:rPr>
          <w:rFonts w:cstheme="minorHAnsi"/>
          <w:sz w:val="24"/>
          <w:szCs w:val="24"/>
        </w:rPr>
        <w:t>Fund</w:t>
      </w:r>
      <w:r w:rsidRPr="003956A7">
        <w:rPr>
          <w:rFonts w:cstheme="minorHAnsi"/>
          <w:sz w:val="24"/>
          <w:szCs w:val="24"/>
        </w:rPr>
        <w:t xml:space="preserve"> invests in collective investment </w:t>
      </w:r>
      <w:r w:rsidR="002E0659">
        <w:rPr>
          <w:rFonts w:cstheme="minorHAnsi"/>
          <w:sz w:val="24"/>
          <w:szCs w:val="24"/>
        </w:rPr>
        <w:t>f</w:t>
      </w:r>
      <w:r w:rsidR="002E0659" w:rsidRPr="003956A7">
        <w:rPr>
          <w:rFonts w:cstheme="minorHAnsi"/>
          <w:sz w:val="24"/>
          <w:szCs w:val="24"/>
        </w:rPr>
        <w:t xml:space="preserve">unds </w:t>
      </w:r>
      <w:r w:rsidRPr="003956A7">
        <w:rPr>
          <w:rFonts w:cstheme="minorHAnsi"/>
          <w:sz w:val="24"/>
          <w:szCs w:val="24"/>
        </w:rPr>
        <w:t xml:space="preserve">that may hold employer-related investments. In this case, the total exposure to employer-related investments will not exceed 5% of the </w:t>
      </w:r>
      <w:r w:rsidR="007A0FA0" w:rsidRPr="003956A7">
        <w:rPr>
          <w:rFonts w:cstheme="minorHAnsi"/>
          <w:sz w:val="24"/>
          <w:szCs w:val="24"/>
        </w:rPr>
        <w:t>Fund</w:t>
      </w:r>
      <w:r w:rsidRPr="003956A7">
        <w:rPr>
          <w:rFonts w:cstheme="minorHAnsi"/>
          <w:sz w:val="24"/>
          <w:szCs w:val="24"/>
        </w:rPr>
        <w:t xml:space="preserve">’s total asset value. The </w:t>
      </w:r>
      <w:r w:rsidR="007A0FA0" w:rsidRPr="003956A7">
        <w:rPr>
          <w:rFonts w:cstheme="minorHAnsi"/>
          <w:sz w:val="24"/>
          <w:szCs w:val="24"/>
        </w:rPr>
        <w:t>Trustee</w:t>
      </w:r>
      <w:r w:rsidRPr="003956A7">
        <w:rPr>
          <w:rFonts w:cstheme="minorHAnsi"/>
          <w:sz w:val="24"/>
          <w:szCs w:val="24"/>
        </w:rPr>
        <w:t xml:space="preserve"> will monitor this on an ongoing basis to ensure compliance.</w:t>
      </w:r>
    </w:p>
    <w:p w14:paraId="727E2515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Direct investments</w:t>
      </w:r>
    </w:p>
    <w:p w14:paraId="727E2516" w14:textId="602DB963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Direct investments, as defined by the Pensions Act 1995, are products purchased without delegation to an investment manager through a written contract. When selecting and reviewing any direct investments, </w:t>
      </w:r>
      <w:r w:rsidRPr="008B344E">
        <w:rPr>
          <w:rFonts w:cstheme="minorHAnsi"/>
          <w:sz w:val="24"/>
          <w:szCs w:val="24"/>
        </w:rPr>
        <w:t xml:space="preserve">the </w:t>
      </w:r>
      <w:r w:rsidR="007A0FA0" w:rsidRPr="008B344E">
        <w:rPr>
          <w:rFonts w:cstheme="minorHAnsi"/>
          <w:sz w:val="24"/>
          <w:szCs w:val="24"/>
        </w:rPr>
        <w:t>Trustee</w:t>
      </w:r>
      <w:r w:rsidRPr="008B344E">
        <w:rPr>
          <w:rFonts w:cstheme="minorHAnsi"/>
          <w:sz w:val="24"/>
          <w:szCs w:val="24"/>
        </w:rPr>
        <w:t xml:space="preserve"> will obtain appropriate written advice from their investment advisers.</w:t>
      </w:r>
    </w:p>
    <w:p w14:paraId="727E2517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Compliance</w:t>
      </w:r>
    </w:p>
    <w:p w14:paraId="727E2518" w14:textId="2277BFEC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This Statement has been prepared in compliance with the Pensions Act 1995, the Pensions Act 2004, and the Occupational Pension </w:t>
      </w:r>
      <w:r w:rsidR="007A0FA0">
        <w:rPr>
          <w:rFonts w:cstheme="minorHAnsi"/>
          <w:sz w:val="24"/>
          <w:szCs w:val="24"/>
        </w:rPr>
        <w:t>Fund</w:t>
      </w:r>
      <w:r w:rsidRPr="008C500A">
        <w:rPr>
          <w:rFonts w:cstheme="minorHAnsi"/>
          <w:sz w:val="24"/>
          <w:szCs w:val="24"/>
        </w:rPr>
        <w:t xml:space="preserve">s (Investment) Regulations 2005. Before preparing or subsequently revising this Statement, the </w:t>
      </w:r>
      <w:r w:rsidR="007A0FA0" w:rsidRPr="004C6FBB">
        <w:rPr>
          <w:rFonts w:cstheme="minorHAnsi"/>
          <w:sz w:val="24"/>
          <w:szCs w:val="24"/>
        </w:rPr>
        <w:t>Trustee</w:t>
      </w:r>
      <w:r w:rsidRPr="004C6FBB">
        <w:rPr>
          <w:rFonts w:cstheme="minorHAnsi"/>
          <w:sz w:val="24"/>
          <w:szCs w:val="24"/>
        </w:rPr>
        <w:t xml:space="preserve"> consulted the </w:t>
      </w:r>
      <w:r w:rsidR="002E0659">
        <w:rPr>
          <w:rFonts w:cstheme="minorHAnsi"/>
          <w:sz w:val="24"/>
          <w:szCs w:val="24"/>
        </w:rPr>
        <w:t>Principal Employer of the Fund</w:t>
      </w:r>
      <w:r w:rsidRPr="004C6FBB">
        <w:rPr>
          <w:rFonts w:cstheme="minorHAnsi"/>
          <w:sz w:val="24"/>
          <w:szCs w:val="24"/>
        </w:rPr>
        <w:t xml:space="preserve"> and took appropriate written advice. The Statement is reviewed at least every three years, and without delay after any significant change in the</w:t>
      </w:r>
      <w:r w:rsidRPr="008C500A">
        <w:rPr>
          <w:rFonts w:cstheme="minorHAnsi"/>
          <w:sz w:val="24"/>
          <w:szCs w:val="24"/>
        </w:rPr>
        <w:t xml:space="preserve"> investment arrangements.</w:t>
      </w:r>
    </w:p>
    <w:p w14:paraId="727E2519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</w:p>
    <w:p w14:paraId="727E251A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Signed:</w:t>
      </w:r>
    </w:p>
    <w:p w14:paraId="727E251D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</w:p>
    <w:p w14:paraId="727E2521" w14:textId="084E5A8F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t>Date:</w:t>
      </w:r>
      <w:r w:rsidR="00F16024">
        <w:rPr>
          <w:rFonts w:cstheme="minorHAnsi"/>
          <w:b/>
          <w:sz w:val="24"/>
          <w:szCs w:val="24"/>
        </w:rPr>
        <w:tab/>
        <w:t>12 September 2023</w:t>
      </w:r>
      <w:r w:rsidRPr="008C500A">
        <w:rPr>
          <w:rFonts w:cstheme="minorHAnsi"/>
          <w:sz w:val="24"/>
          <w:szCs w:val="24"/>
        </w:rPr>
        <w:t xml:space="preserve"> </w:t>
      </w:r>
    </w:p>
    <w:p w14:paraId="727E2522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br w:type="page"/>
      </w:r>
    </w:p>
    <w:p w14:paraId="44237B38" w14:textId="77777777" w:rsidR="00924627" w:rsidRPr="002E0659" w:rsidRDefault="00924627" w:rsidP="002E0659">
      <w:pPr>
        <w:jc w:val="both"/>
        <w:rPr>
          <w:rFonts w:cstheme="minorHAnsi"/>
          <w:b/>
          <w:bCs/>
          <w:sz w:val="24"/>
          <w:szCs w:val="24"/>
        </w:rPr>
      </w:pPr>
      <w:r w:rsidRPr="002E0659">
        <w:rPr>
          <w:rFonts w:cstheme="minorHAnsi"/>
          <w:b/>
          <w:bCs/>
          <w:sz w:val="24"/>
          <w:szCs w:val="24"/>
        </w:rPr>
        <w:lastRenderedPageBreak/>
        <w:t>Appendix A</w:t>
      </w:r>
    </w:p>
    <w:p w14:paraId="203AF953" w14:textId="448A189F" w:rsidR="00924627" w:rsidRPr="002E0659" w:rsidRDefault="00924627" w:rsidP="00924627">
      <w:pPr>
        <w:jc w:val="both"/>
        <w:rPr>
          <w:rFonts w:cstheme="minorHAnsi"/>
          <w:sz w:val="24"/>
          <w:szCs w:val="24"/>
        </w:rPr>
      </w:pPr>
      <w:r w:rsidRPr="002E0659">
        <w:rPr>
          <w:rFonts w:cstheme="minorHAnsi"/>
          <w:sz w:val="24"/>
          <w:szCs w:val="24"/>
        </w:rPr>
        <w:t>A</w:t>
      </w:r>
      <w:r w:rsidR="00A51BD2" w:rsidRPr="002E0659">
        <w:rPr>
          <w:rFonts w:cstheme="minorHAnsi"/>
          <w:sz w:val="24"/>
          <w:szCs w:val="24"/>
        </w:rPr>
        <w:t>ctual a</w:t>
      </w:r>
      <w:r w:rsidRPr="002E0659">
        <w:rPr>
          <w:rFonts w:cstheme="minorHAnsi"/>
          <w:sz w:val="24"/>
          <w:szCs w:val="24"/>
        </w:rPr>
        <w:t>sset</w:t>
      </w:r>
      <w:r w:rsidR="001B1CBE" w:rsidRPr="002E0659">
        <w:rPr>
          <w:rFonts w:cstheme="minorHAnsi"/>
          <w:sz w:val="24"/>
          <w:szCs w:val="24"/>
        </w:rPr>
        <w:t xml:space="preserve"> allocation</w:t>
      </w:r>
      <w:r w:rsidRPr="002E0659">
        <w:rPr>
          <w:rFonts w:cstheme="minorHAnsi"/>
          <w:sz w:val="24"/>
          <w:szCs w:val="24"/>
        </w:rPr>
        <w:t xml:space="preserve"> split by asset class (as </w:t>
      </w:r>
      <w:proofErr w:type="gramStart"/>
      <w:r w:rsidRPr="002E0659">
        <w:rPr>
          <w:rFonts w:cstheme="minorHAnsi"/>
          <w:sz w:val="24"/>
          <w:szCs w:val="24"/>
        </w:rPr>
        <w:t>at</w:t>
      </w:r>
      <w:proofErr w:type="gramEnd"/>
      <w:r w:rsidRPr="002E0659">
        <w:rPr>
          <w:rFonts w:cstheme="minorHAnsi"/>
          <w:sz w:val="24"/>
          <w:szCs w:val="24"/>
        </w:rPr>
        <w:t xml:space="preserve"> 30 June 2023)</w:t>
      </w:r>
      <w:r w:rsidR="00E210B1" w:rsidRPr="002E0659">
        <w:rPr>
          <w:rFonts w:cstheme="minorHAnsi"/>
          <w:sz w:val="24"/>
          <w:szCs w:val="24"/>
        </w:rPr>
        <w:t xml:space="preserve">, </w:t>
      </w:r>
      <w:r w:rsidR="00D843E2" w:rsidRPr="002E0659">
        <w:rPr>
          <w:rFonts w:cstheme="minorHAnsi"/>
          <w:sz w:val="24"/>
          <w:szCs w:val="24"/>
        </w:rPr>
        <w:t xml:space="preserve">which is </w:t>
      </w:r>
      <w:r w:rsidR="00E210B1" w:rsidRPr="002E0659">
        <w:rPr>
          <w:rFonts w:cstheme="minorHAnsi"/>
          <w:sz w:val="24"/>
          <w:szCs w:val="24"/>
        </w:rPr>
        <w:t xml:space="preserve">invested via </w:t>
      </w:r>
      <w:r w:rsidR="00D843E2" w:rsidRPr="002E0659">
        <w:rPr>
          <w:rFonts w:cstheme="minorHAnsi"/>
          <w:sz w:val="24"/>
          <w:szCs w:val="24"/>
        </w:rPr>
        <w:t xml:space="preserve">the </w:t>
      </w:r>
      <w:r w:rsidR="00E210B1" w:rsidRPr="002E0659">
        <w:rPr>
          <w:rFonts w:cstheme="minorHAnsi"/>
          <w:sz w:val="24"/>
          <w:szCs w:val="24"/>
        </w:rPr>
        <w:t>Mobius Life Platform.</w:t>
      </w:r>
    </w:p>
    <w:tbl>
      <w:tblPr>
        <w:tblW w:w="6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960"/>
        <w:gridCol w:w="1624"/>
        <w:gridCol w:w="1542"/>
      </w:tblGrid>
      <w:tr w:rsidR="00924627" w:rsidRPr="002E0659" w14:paraId="6FC0645B" w14:textId="77777777" w:rsidTr="009837BD">
        <w:tc>
          <w:tcPr>
            <w:tcW w:w="1608" w:type="dxa"/>
            <w:shd w:val="clear" w:color="auto" w:fill="BFBFBF"/>
            <w:vAlign w:val="center"/>
          </w:tcPr>
          <w:p w14:paraId="117BA0CC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Investment Manager</w:t>
            </w:r>
          </w:p>
        </w:tc>
        <w:tc>
          <w:tcPr>
            <w:tcW w:w="1960" w:type="dxa"/>
            <w:shd w:val="clear" w:color="auto" w:fill="BFBFBF"/>
            <w:vAlign w:val="center"/>
          </w:tcPr>
          <w:p w14:paraId="4ED47C10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Asset Class</w:t>
            </w:r>
          </w:p>
        </w:tc>
        <w:tc>
          <w:tcPr>
            <w:tcW w:w="1624" w:type="dxa"/>
            <w:shd w:val="clear" w:color="auto" w:fill="BFBFBF"/>
            <w:vAlign w:val="center"/>
          </w:tcPr>
          <w:p w14:paraId="48A8565E" w14:textId="1E0D1FDD" w:rsidR="00924627" w:rsidRPr="002E0659" w:rsidRDefault="0061578F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Asset Allocation</w:t>
            </w:r>
          </w:p>
        </w:tc>
        <w:tc>
          <w:tcPr>
            <w:tcW w:w="1542" w:type="dxa"/>
            <w:shd w:val="clear" w:color="auto" w:fill="BFBFBF"/>
            <w:vAlign w:val="center"/>
          </w:tcPr>
          <w:p w14:paraId="7D0624D8" w14:textId="39485D29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Expected Return</w:t>
            </w:r>
            <w:r w:rsidR="002E0659">
              <w:rPr>
                <w:rStyle w:val="FootnoteReference"/>
                <w:rFonts w:cstheme="minorHAnsi"/>
                <w:sz w:val="24"/>
                <w:szCs w:val="24"/>
              </w:rPr>
              <w:footnoteReference w:id="2"/>
            </w:r>
            <w:r w:rsidRPr="002E0659">
              <w:rPr>
                <w:rFonts w:cstheme="minorHAnsi"/>
                <w:sz w:val="24"/>
                <w:szCs w:val="24"/>
              </w:rPr>
              <w:t xml:space="preserve"> (%)</w:t>
            </w:r>
          </w:p>
        </w:tc>
      </w:tr>
      <w:tr w:rsidR="00924627" w:rsidRPr="002E0659" w14:paraId="42A4D363" w14:textId="77777777" w:rsidTr="009837BD">
        <w:trPr>
          <w:trHeight w:val="454"/>
        </w:trPr>
        <w:tc>
          <w:tcPr>
            <w:tcW w:w="1608" w:type="dxa"/>
            <w:vMerge w:val="restart"/>
            <w:vAlign w:val="center"/>
          </w:tcPr>
          <w:p w14:paraId="42D6FADC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LGIM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4C6290E1" w14:textId="74BB9811" w:rsidR="00924627" w:rsidRPr="002E0659" w:rsidRDefault="00F925CD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Fixed Interest Gilts</w:t>
            </w:r>
          </w:p>
        </w:tc>
        <w:tc>
          <w:tcPr>
            <w:tcW w:w="1624" w:type="dxa"/>
            <w:shd w:val="clear" w:color="auto" w:fill="auto"/>
            <w:vAlign w:val="bottom"/>
          </w:tcPr>
          <w:p w14:paraId="7C5CE219" w14:textId="2FECB789" w:rsidR="00924627" w:rsidRPr="002E0659" w:rsidRDefault="00695C89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26.6%</w:t>
            </w:r>
          </w:p>
        </w:tc>
        <w:tc>
          <w:tcPr>
            <w:tcW w:w="1542" w:type="dxa"/>
            <w:vAlign w:val="bottom"/>
          </w:tcPr>
          <w:p w14:paraId="125ADB89" w14:textId="4F0CC986" w:rsidR="00924627" w:rsidRPr="002E0659" w:rsidRDefault="00372C65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0.0%</w:t>
            </w:r>
          </w:p>
        </w:tc>
      </w:tr>
      <w:tr w:rsidR="00924627" w:rsidRPr="002E0659" w14:paraId="0AFF6593" w14:textId="77777777" w:rsidTr="009837BD">
        <w:trPr>
          <w:trHeight w:val="454"/>
        </w:trPr>
        <w:tc>
          <w:tcPr>
            <w:tcW w:w="1608" w:type="dxa"/>
            <w:vMerge/>
            <w:vAlign w:val="center"/>
          </w:tcPr>
          <w:p w14:paraId="484E54C8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0175201" w14:textId="248152B1" w:rsidR="00924627" w:rsidRPr="002E0659" w:rsidRDefault="00F925CD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Index-Linked Gilts</w:t>
            </w:r>
          </w:p>
        </w:tc>
        <w:tc>
          <w:tcPr>
            <w:tcW w:w="1624" w:type="dxa"/>
            <w:shd w:val="clear" w:color="auto" w:fill="auto"/>
            <w:vAlign w:val="bottom"/>
          </w:tcPr>
          <w:p w14:paraId="19B19F92" w14:textId="0D73A2A2" w:rsidR="00924627" w:rsidRPr="002E0659" w:rsidRDefault="00695C89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19.0%</w:t>
            </w:r>
          </w:p>
        </w:tc>
        <w:tc>
          <w:tcPr>
            <w:tcW w:w="1542" w:type="dxa"/>
            <w:vAlign w:val="bottom"/>
          </w:tcPr>
          <w:p w14:paraId="4E436826" w14:textId="530EBE57" w:rsidR="00924627" w:rsidRPr="002E0659" w:rsidRDefault="00372C65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0.0%</w:t>
            </w:r>
          </w:p>
        </w:tc>
      </w:tr>
      <w:tr w:rsidR="00924627" w:rsidRPr="002E0659" w14:paraId="77ABDA93" w14:textId="77777777" w:rsidTr="009837BD">
        <w:trPr>
          <w:trHeight w:val="454"/>
        </w:trPr>
        <w:tc>
          <w:tcPr>
            <w:tcW w:w="1608" w:type="dxa"/>
            <w:vMerge/>
            <w:vAlign w:val="center"/>
          </w:tcPr>
          <w:p w14:paraId="02E86BA8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976C8CD" w14:textId="550E09E6" w:rsidR="00924627" w:rsidRPr="002E0659" w:rsidRDefault="00B31FA5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Cash</w:t>
            </w:r>
          </w:p>
        </w:tc>
        <w:tc>
          <w:tcPr>
            <w:tcW w:w="1624" w:type="dxa"/>
            <w:shd w:val="clear" w:color="auto" w:fill="auto"/>
            <w:vAlign w:val="bottom"/>
          </w:tcPr>
          <w:p w14:paraId="4D021FDD" w14:textId="3FDD0E90" w:rsidR="00924627" w:rsidRPr="002E0659" w:rsidRDefault="00695C89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54.4%</w:t>
            </w:r>
          </w:p>
        </w:tc>
        <w:tc>
          <w:tcPr>
            <w:tcW w:w="1542" w:type="dxa"/>
            <w:vAlign w:val="bottom"/>
          </w:tcPr>
          <w:p w14:paraId="658D4563" w14:textId="09FEB487" w:rsidR="00924627" w:rsidRPr="002E0659" w:rsidRDefault="00372C65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0.0%</w:t>
            </w:r>
          </w:p>
        </w:tc>
      </w:tr>
      <w:tr w:rsidR="00924627" w:rsidRPr="002E0659" w14:paraId="6B49F1C3" w14:textId="77777777" w:rsidTr="00B31FA5">
        <w:trPr>
          <w:trHeight w:val="454"/>
        </w:trPr>
        <w:tc>
          <w:tcPr>
            <w:tcW w:w="1608" w:type="dxa"/>
            <w:shd w:val="clear" w:color="auto" w:fill="BFBFBF"/>
            <w:vAlign w:val="center"/>
          </w:tcPr>
          <w:p w14:paraId="4598E420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BFBFBF"/>
            <w:vAlign w:val="bottom"/>
          </w:tcPr>
          <w:p w14:paraId="15748AC6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624" w:type="dxa"/>
            <w:shd w:val="clear" w:color="auto" w:fill="BFBFBF"/>
            <w:vAlign w:val="bottom"/>
          </w:tcPr>
          <w:p w14:paraId="32FC9E07" w14:textId="77777777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  <w:r w:rsidRPr="002E0659">
              <w:rPr>
                <w:rFonts w:cstheme="minorHAnsi"/>
                <w:sz w:val="24"/>
                <w:szCs w:val="24"/>
              </w:rPr>
              <w:t>100.0</w:t>
            </w:r>
          </w:p>
        </w:tc>
        <w:tc>
          <w:tcPr>
            <w:tcW w:w="1542" w:type="dxa"/>
            <w:shd w:val="clear" w:color="auto" w:fill="BFBFBF"/>
            <w:vAlign w:val="bottom"/>
          </w:tcPr>
          <w:p w14:paraId="2047530E" w14:textId="5F46D7FB" w:rsidR="00924627" w:rsidRPr="002E0659" w:rsidRDefault="00924627" w:rsidP="002E0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F071EF7" w14:textId="77777777" w:rsidR="00765572" w:rsidRPr="002E0659" w:rsidRDefault="00765572" w:rsidP="002E0659">
      <w:pPr>
        <w:jc w:val="both"/>
        <w:rPr>
          <w:rFonts w:cstheme="minorHAnsi"/>
          <w:sz w:val="24"/>
          <w:szCs w:val="24"/>
        </w:rPr>
      </w:pPr>
    </w:p>
    <w:p w14:paraId="727E253F" w14:textId="52E1AF19" w:rsidR="00C228EC" w:rsidRPr="008C500A" w:rsidRDefault="00765572" w:rsidP="00C228E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C228EC" w:rsidRPr="008C500A">
        <w:rPr>
          <w:rFonts w:cstheme="minorHAnsi"/>
          <w:b/>
          <w:sz w:val="24"/>
          <w:szCs w:val="24"/>
        </w:rPr>
        <w:lastRenderedPageBreak/>
        <w:t xml:space="preserve">Appendix B – Risks, Financially Material Considerations </w:t>
      </w:r>
      <w:r w:rsidR="00B04FB0" w:rsidRPr="008C500A">
        <w:rPr>
          <w:rFonts w:cstheme="minorHAnsi"/>
          <w:b/>
          <w:sz w:val="24"/>
          <w:szCs w:val="24"/>
        </w:rPr>
        <w:t xml:space="preserve">(including </w:t>
      </w:r>
      <w:proofErr w:type="spellStart"/>
      <w:r w:rsidR="00B04FB0" w:rsidRPr="008C500A">
        <w:rPr>
          <w:rFonts w:cstheme="minorHAnsi"/>
          <w:b/>
          <w:sz w:val="24"/>
          <w:szCs w:val="24"/>
        </w:rPr>
        <w:t>ESG</w:t>
      </w:r>
      <w:proofErr w:type="spellEnd"/>
      <w:r w:rsidR="00B04FB0" w:rsidRPr="008C500A">
        <w:rPr>
          <w:rFonts w:cstheme="minorHAnsi"/>
          <w:b/>
          <w:sz w:val="24"/>
          <w:szCs w:val="24"/>
        </w:rPr>
        <w:t xml:space="preserve"> and climate change) </w:t>
      </w:r>
      <w:r w:rsidR="00C228EC" w:rsidRPr="008C500A">
        <w:rPr>
          <w:rFonts w:cstheme="minorHAnsi"/>
          <w:b/>
          <w:sz w:val="24"/>
          <w:szCs w:val="24"/>
        </w:rPr>
        <w:t xml:space="preserve">and </w:t>
      </w:r>
      <w:proofErr w:type="gramStart"/>
      <w:r w:rsidR="00C228EC" w:rsidRPr="008C500A">
        <w:rPr>
          <w:rFonts w:cstheme="minorHAnsi"/>
          <w:b/>
          <w:sz w:val="24"/>
          <w:szCs w:val="24"/>
        </w:rPr>
        <w:t>Non-Financial</w:t>
      </w:r>
      <w:proofErr w:type="gramEnd"/>
      <w:r w:rsidR="00C228EC" w:rsidRPr="008C500A">
        <w:rPr>
          <w:rFonts w:cstheme="minorHAnsi"/>
          <w:b/>
          <w:sz w:val="24"/>
          <w:szCs w:val="24"/>
        </w:rPr>
        <w:t xml:space="preserve"> matters </w:t>
      </w:r>
    </w:p>
    <w:p w14:paraId="727E2540" w14:textId="246B8E54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A non-exhaustive list of risks and financially material considerations that the </w:t>
      </w:r>
      <w:r w:rsidR="007A0FA0" w:rsidRPr="00B438E6">
        <w:rPr>
          <w:rFonts w:cstheme="minorHAnsi"/>
          <w:sz w:val="24"/>
          <w:szCs w:val="24"/>
        </w:rPr>
        <w:t>Trustee</w:t>
      </w:r>
      <w:r w:rsidRPr="008C500A">
        <w:rPr>
          <w:rFonts w:cstheme="minorHAnsi"/>
          <w:sz w:val="24"/>
          <w:szCs w:val="24"/>
        </w:rPr>
        <w:t xml:space="preserve"> </w:t>
      </w:r>
      <w:r w:rsidR="00B438E6">
        <w:rPr>
          <w:rFonts w:cstheme="minorHAnsi"/>
          <w:sz w:val="24"/>
          <w:szCs w:val="24"/>
        </w:rPr>
        <w:t>has</w:t>
      </w:r>
      <w:r w:rsidRPr="008C500A">
        <w:rPr>
          <w:rFonts w:cstheme="minorHAnsi"/>
          <w:sz w:val="24"/>
          <w:szCs w:val="24"/>
        </w:rPr>
        <w:t xml:space="preserve"> considered and sought to manage is shown below. </w:t>
      </w:r>
    </w:p>
    <w:p w14:paraId="727E2541" w14:textId="4D3FF68B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The </w:t>
      </w:r>
      <w:r w:rsidR="007A0FA0" w:rsidRPr="00B438E6">
        <w:rPr>
          <w:rFonts w:cstheme="minorHAnsi"/>
          <w:sz w:val="24"/>
          <w:szCs w:val="24"/>
        </w:rPr>
        <w:t>Trustee</w:t>
      </w:r>
      <w:r w:rsidRPr="008C500A">
        <w:rPr>
          <w:rFonts w:cstheme="minorHAnsi"/>
          <w:sz w:val="24"/>
          <w:szCs w:val="24"/>
        </w:rPr>
        <w:t xml:space="preserve"> adopt</w:t>
      </w:r>
      <w:r w:rsidR="00B438E6">
        <w:rPr>
          <w:rFonts w:cstheme="minorHAnsi"/>
          <w:sz w:val="24"/>
          <w:szCs w:val="24"/>
        </w:rPr>
        <w:t>s</w:t>
      </w:r>
      <w:r w:rsidRPr="008C500A">
        <w:rPr>
          <w:rFonts w:cstheme="minorHAnsi"/>
          <w:sz w:val="24"/>
          <w:szCs w:val="24"/>
        </w:rPr>
        <w:t xml:space="preserve"> an integrated risk management approach. The three key risks associated </w:t>
      </w:r>
      <w:proofErr w:type="spellStart"/>
      <w:r w:rsidRPr="008C500A">
        <w:rPr>
          <w:rFonts w:cstheme="minorHAnsi"/>
          <w:sz w:val="24"/>
          <w:szCs w:val="24"/>
        </w:rPr>
        <w:t>within</w:t>
      </w:r>
      <w:proofErr w:type="spellEnd"/>
      <w:r w:rsidRPr="008C500A">
        <w:rPr>
          <w:rFonts w:cstheme="minorHAnsi"/>
          <w:sz w:val="24"/>
          <w:szCs w:val="24"/>
        </w:rPr>
        <w:t xml:space="preserve"> this framework and how they are managed are stated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01"/>
      </w:tblGrid>
      <w:tr w:rsidR="00C228EC" w:rsidRPr="008C500A" w14:paraId="727E2545" w14:textId="77777777" w:rsidTr="007A1A05">
        <w:tc>
          <w:tcPr>
            <w:tcW w:w="1838" w:type="dxa"/>
          </w:tcPr>
          <w:p w14:paraId="727E2542" w14:textId="77777777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>Risks</w:t>
            </w:r>
          </w:p>
        </w:tc>
        <w:tc>
          <w:tcPr>
            <w:tcW w:w="2977" w:type="dxa"/>
          </w:tcPr>
          <w:p w14:paraId="727E2543" w14:textId="77777777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>Definition</w:t>
            </w:r>
          </w:p>
        </w:tc>
        <w:tc>
          <w:tcPr>
            <w:tcW w:w="4201" w:type="dxa"/>
          </w:tcPr>
          <w:p w14:paraId="727E2544" w14:textId="77777777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>Policy</w:t>
            </w:r>
          </w:p>
        </w:tc>
      </w:tr>
      <w:tr w:rsidR="00C228EC" w:rsidRPr="008C500A" w14:paraId="727E254A" w14:textId="77777777" w:rsidTr="007A1A05">
        <w:tc>
          <w:tcPr>
            <w:tcW w:w="1838" w:type="dxa"/>
          </w:tcPr>
          <w:p w14:paraId="727E2546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  <w:vertAlign w:val="superscript"/>
              </w:rPr>
            </w:pPr>
            <w:r w:rsidRPr="008C500A">
              <w:rPr>
                <w:rFonts w:cstheme="minorHAnsi"/>
                <w:sz w:val="24"/>
                <w:szCs w:val="24"/>
              </w:rPr>
              <w:t>Investment</w:t>
            </w:r>
          </w:p>
        </w:tc>
        <w:tc>
          <w:tcPr>
            <w:tcW w:w="2977" w:type="dxa"/>
          </w:tcPr>
          <w:p w14:paraId="727E2547" w14:textId="1ED0D464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risk that the </w:t>
            </w:r>
            <w:r w:rsidR="007A0FA0" w:rsidRPr="00B438E6">
              <w:rPr>
                <w:rFonts w:cstheme="minorHAnsi"/>
                <w:sz w:val="24"/>
                <w:szCs w:val="24"/>
              </w:rPr>
              <w:t>Fund</w:t>
            </w:r>
            <w:r w:rsidRPr="00B438E6">
              <w:rPr>
                <w:rFonts w:cstheme="minorHAnsi"/>
                <w:sz w:val="24"/>
                <w:szCs w:val="24"/>
              </w:rPr>
              <w:t>’s position deteriorates due to the assets</w:t>
            </w:r>
            <w:r w:rsidRPr="008C500A">
              <w:rPr>
                <w:rFonts w:cstheme="minorHAnsi"/>
                <w:sz w:val="24"/>
                <w:szCs w:val="24"/>
              </w:rPr>
              <w:t xml:space="preserve"> underperforming. </w:t>
            </w:r>
          </w:p>
        </w:tc>
        <w:tc>
          <w:tcPr>
            <w:tcW w:w="4201" w:type="dxa"/>
          </w:tcPr>
          <w:p w14:paraId="727E2548" w14:textId="05FF8775" w:rsidR="00C228EC" w:rsidRPr="008C500A" w:rsidRDefault="00C228EC" w:rsidP="00C228EC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Selecting an investment objective that is achievable and is consistent with the </w:t>
            </w:r>
            <w:r w:rsidR="007A0FA0" w:rsidRPr="00D645AC">
              <w:rPr>
                <w:rFonts w:cstheme="minorHAnsi"/>
                <w:sz w:val="24"/>
                <w:szCs w:val="24"/>
              </w:rPr>
              <w:t>Fund</w:t>
            </w:r>
            <w:r w:rsidRPr="00D645AC">
              <w:rPr>
                <w:rFonts w:cstheme="minorHAnsi"/>
                <w:sz w:val="24"/>
                <w:szCs w:val="24"/>
              </w:rPr>
              <w:t xml:space="preserve">’s funding basis and the </w:t>
            </w:r>
            <w:r w:rsidR="009C190E">
              <w:rPr>
                <w:rFonts w:cstheme="minorHAnsi"/>
                <w:sz w:val="24"/>
                <w:szCs w:val="24"/>
              </w:rPr>
              <w:t>Principal Employer’s</w:t>
            </w:r>
            <w:r w:rsidRPr="008C500A">
              <w:rPr>
                <w:rFonts w:cstheme="minorHAnsi"/>
                <w:sz w:val="24"/>
                <w:szCs w:val="24"/>
              </w:rPr>
              <w:t xml:space="preserve"> covenant strength.</w:t>
            </w:r>
          </w:p>
          <w:p w14:paraId="727E2549" w14:textId="29F9BABD" w:rsidR="00C228EC" w:rsidRPr="008C500A" w:rsidRDefault="00C228EC" w:rsidP="00C228EC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Investing in a </w:t>
            </w:r>
            <w:r w:rsidR="00A465B5">
              <w:rPr>
                <w:rFonts w:cstheme="minorHAnsi"/>
                <w:sz w:val="24"/>
                <w:szCs w:val="24"/>
              </w:rPr>
              <w:t>low-risk, liability matching portfolio</w:t>
            </w:r>
            <w:r w:rsidR="0000593B">
              <w:rPr>
                <w:rFonts w:cstheme="minorHAnsi"/>
                <w:sz w:val="24"/>
                <w:szCs w:val="24"/>
              </w:rPr>
              <w:t xml:space="preserve"> to </w:t>
            </w:r>
            <w:r w:rsidR="004A7D10">
              <w:rPr>
                <w:rFonts w:cstheme="minorHAnsi"/>
                <w:sz w:val="24"/>
                <w:szCs w:val="24"/>
              </w:rPr>
              <w:t xml:space="preserve">minimise </w:t>
            </w:r>
            <w:r w:rsidR="0074007D">
              <w:rPr>
                <w:rFonts w:cstheme="minorHAnsi"/>
                <w:sz w:val="24"/>
                <w:szCs w:val="24"/>
              </w:rPr>
              <w:t xml:space="preserve">funding </w:t>
            </w:r>
            <w:r w:rsidR="00B25629">
              <w:rPr>
                <w:rFonts w:cstheme="minorHAnsi"/>
                <w:sz w:val="24"/>
                <w:szCs w:val="24"/>
              </w:rPr>
              <w:t xml:space="preserve">risk relative to </w:t>
            </w:r>
            <w:r w:rsidR="0074007D">
              <w:rPr>
                <w:rFonts w:cstheme="minorHAnsi"/>
                <w:sz w:val="24"/>
                <w:szCs w:val="24"/>
              </w:rPr>
              <w:t xml:space="preserve">the Fund’s </w:t>
            </w:r>
            <w:r w:rsidR="00B25629">
              <w:rPr>
                <w:rFonts w:cstheme="minorHAnsi"/>
                <w:sz w:val="24"/>
                <w:szCs w:val="24"/>
              </w:rPr>
              <w:t>buy-out</w:t>
            </w:r>
            <w:r w:rsidR="0074007D">
              <w:rPr>
                <w:rFonts w:cstheme="minorHAnsi"/>
                <w:sz w:val="24"/>
                <w:szCs w:val="24"/>
              </w:rPr>
              <w:t xml:space="preserve"> </w:t>
            </w:r>
            <w:r w:rsidR="0059349A">
              <w:rPr>
                <w:rFonts w:cstheme="minorHAnsi"/>
                <w:sz w:val="24"/>
                <w:szCs w:val="24"/>
              </w:rPr>
              <w:t>target measure</w:t>
            </w:r>
            <w:r w:rsidR="00B256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28EC" w:rsidRPr="008C500A" w14:paraId="727E254F" w14:textId="77777777" w:rsidTr="007A1A05">
        <w:tc>
          <w:tcPr>
            <w:tcW w:w="1838" w:type="dxa"/>
          </w:tcPr>
          <w:p w14:paraId="727E254B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Funding</w:t>
            </w:r>
          </w:p>
        </w:tc>
        <w:tc>
          <w:tcPr>
            <w:tcW w:w="2977" w:type="dxa"/>
          </w:tcPr>
          <w:p w14:paraId="727E254C" w14:textId="21412D01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extent </w:t>
            </w:r>
            <w:r w:rsidRPr="00B438E6">
              <w:rPr>
                <w:rFonts w:cstheme="minorHAnsi"/>
                <w:sz w:val="24"/>
                <w:szCs w:val="24"/>
              </w:rPr>
              <w:t xml:space="preserve">to which there are insufficient </w:t>
            </w:r>
            <w:r w:rsidR="007A0FA0" w:rsidRPr="00B438E6">
              <w:rPr>
                <w:rFonts w:cstheme="minorHAnsi"/>
                <w:sz w:val="24"/>
                <w:szCs w:val="24"/>
              </w:rPr>
              <w:t>Fund</w:t>
            </w:r>
            <w:r w:rsidRPr="00B438E6">
              <w:rPr>
                <w:rFonts w:cstheme="minorHAnsi"/>
                <w:sz w:val="24"/>
                <w:szCs w:val="24"/>
              </w:rPr>
              <w:t xml:space="preserve"> assets available to cover</w:t>
            </w:r>
            <w:r w:rsidRPr="008C500A">
              <w:rPr>
                <w:rFonts w:cstheme="minorHAnsi"/>
                <w:sz w:val="24"/>
                <w:szCs w:val="24"/>
              </w:rPr>
              <w:t xml:space="preserve"> ongoing and future liability cash flows.</w:t>
            </w:r>
          </w:p>
        </w:tc>
        <w:tc>
          <w:tcPr>
            <w:tcW w:w="4201" w:type="dxa"/>
          </w:tcPr>
          <w:p w14:paraId="727E254D" w14:textId="77777777" w:rsidR="00C228EC" w:rsidRPr="008C500A" w:rsidRDefault="00C228EC" w:rsidP="00C228E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Funding risk is considered as part of the investment strategy review and the actuarial valuation. </w:t>
            </w:r>
          </w:p>
          <w:p w14:paraId="727E254E" w14:textId="135D7A0A" w:rsidR="00C228EC" w:rsidRPr="008C500A" w:rsidRDefault="00C228EC" w:rsidP="00C228E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</w:t>
            </w:r>
            <w:r w:rsidR="000B0193">
              <w:rPr>
                <w:rFonts w:cstheme="minorHAnsi"/>
                <w:sz w:val="24"/>
                <w:szCs w:val="24"/>
              </w:rPr>
              <w:t>Fund is fully funded on an illustrative solvency basis</w:t>
            </w:r>
            <w:r w:rsidR="00656F60">
              <w:rPr>
                <w:rFonts w:cstheme="minorHAnsi"/>
                <w:sz w:val="24"/>
                <w:szCs w:val="24"/>
              </w:rPr>
              <w:t xml:space="preserve">. </w:t>
            </w:r>
            <w:r w:rsidR="00806691">
              <w:rPr>
                <w:rFonts w:cstheme="minorHAnsi"/>
                <w:sz w:val="24"/>
                <w:szCs w:val="24"/>
              </w:rPr>
              <w:t>Funding</w:t>
            </w:r>
            <w:r w:rsidR="00656F60">
              <w:rPr>
                <w:rFonts w:cstheme="minorHAnsi"/>
                <w:sz w:val="24"/>
                <w:szCs w:val="24"/>
              </w:rPr>
              <w:t xml:space="preserve"> will be monitored closely as part of the Fund’s six-monthly reporting schedule.</w:t>
            </w:r>
            <w:r w:rsidRPr="008C500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28EC" w:rsidRPr="008C500A" w14:paraId="727E2553" w14:textId="77777777" w:rsidTr="007A1A05">
        <w:tc>
          <w:tcPr>
            <w:tcW w:w="1838" w:type="dxa"/>
          </w:tcPr>
          <w:p w14:paraId="727E2550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Covenant</w:t>
            </w:r>
          </w:p>
        </w:tc>
        <w:tc>
          <w:tcPr>
            <w:tcW w:w="2977" w:type="dxa"/>
          </w:tcPr>
          <w:p w14:paraId="727E2551" w14:textId="36FC492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risk that the </w:t>
            </w:r>
            <w:r w:rsidR="009C190E">
              <w:rPr>
                <w:rFonts w:cstheme="minorHAnsi"/>
                <w:sz w:val="24"/>
                <w:szCs w:val="24"/>
              </w:rPr>
              <w:t xml:space="preserve">Principal Employer </w:t>
            </w:r>
            <w:r w:rsidRPr="008C500A">
              <w:rPr>
                <w:rFonts w:cstheme="minorHAnsi"/>
                <w:sz w:val="24"/>
                <w:szCs w:val="24"/>
              </w:rPr>
              <w:t xml:space="preserve">becomes unable to continue providing the </w:t>
            </w:r>
            <w:r w:rsidRPr="00B438E6">
              <w:rPr>
                <w:rFonts w:cstheme="minorHAnsi"/>
                <w:sz w:val="24"/>
                <w:szCs w:val="24"/>
              </w:rPr>
              <w:t xml:space="preserve">required financial support to the </w:t>
            </w:r>
            <w:r w:rsidR="007A0FA0" w:rsidRPr="00B438E6">
              <w:rPr>
                <w:rFonts w:cstheme="minorHAnsi"/>
                <w:sz w:val="24"/>
                <w:szCs w:val="24"/>
              </w:rPr>
              <w:t>Fund</w:t>
            </w:r>
            <w:r w:rsidRPr="00B438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201" w:type="dxa"/>
          </w:tcPr>
          <w:p w14:paraId="727E2552" w14:textId="0A3481CB" w:rsidR="00C228EC" w:rsidRPr="008C500A" w:rsidRDefault="00C228EC" w:rsidP="00C228EC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When </w:t>
            </w:r>
            <w:r w:rsidRPr="00D645AC">
              <w:rPr>
                <w:rFonts w:cstheme="minorHAnsi"/>
                <w:sz w:val="24"/>
                <w:szCs w:val="24"/>
              </w:rPr>
              <w:t xml:space="preserve">developing the </w:t>
            </w:r>
            <w:r w:rsidR="007A0FA0" w:rsidRPr="00D645AC">
              <w:rPr>
                <w:rFonts w:cstheme="minorHAnsi"/>
                <w:sz w:val="24"/>
                <w:szCs w:val="24"/>
              </w:rPr>
              <w:t>Fund</w:t>
            </w:r>
            <w:r w:rsidRPr="00D645AC">
              <w:rPr>
                <w:rFonts w:cstheme="minorHAnsi"/>
                <w:sz w:val="24"/>
                <w:szCs w:val="24"/>
              </w:rPr>
              <w:t xml:space="preserve">’s investment and funding objectives, the </w:t>
            </w:r>
            <w:r w:rsidR="007A0FA0" w:rsidRPr="00D645AC">
              <w:rPr>
                <w:rFonts w:cstheme="minorHAnsi"/>
                <w:sz w:val="24"/>
                <w:szCs w:val="24"/>
              </w:rPr>
              <w:t>Trustee</w:t>
            </w:r>
            <w:r w:rsidRPr="00D645AC">
              <w:rPr>
                <w:rFonts w:cstheme="minorHAnsi"/>
                <w:sz w:val="24"/>
                <w:szCs w:val="24"/>
              </w:rPr>
              <w:t xml:space="preserve"> take</w:t>
            </w:r>
            <w:r w:rsidR="00D645AC" w:rsidRPr="00D645AC">
              <w:rPr>
                <w:rFonts w:cstheme="minorHAnsi"/>
                <w:sz w:val="24"/>
                <w:szCs w:val="24"/>
              </w:rPr>
              <w:t>s</w:t>
            </w:r>
            <w:r w:rsidRPr="00D645AC">
              <w:rPr>
                <w:rFonts w:cstheme="minorHAnsi"/>
                <w:sz w:val="24"/>
                <w:szCs w:val="24"/>
              </w:rPr>
              <w:t xml:space="preserve"> account of the strength of the covenant ensuring the level of risk the </w:t>
            </w:r>
            <w:r w:rsidR="007A0FA0" w:rsidRPr="00D645AC">
              <w:rPr>
                <w:rFonts w:cstheme="minorHAnsi"/>
                <w:sz w:val="24"/>
                <w:szCs w:val="24"/>
              </w:rPr>
              <w:t>Fund</w:t>
            </w:r>
            <w:r w:rsidRPr="00D645AC">
              <w:rPr>
                <w:rFonts w:cstheme="minorHAnsi"/>
                <w:sz w:val="24"/>
                <w:szCs w:val="24"/>
              </w:rPr>
              <w:t xml:space="preserve"> is exposed to is at an appropriate level for the covenant to support.</w:t>
            </w:r>
            <w:r w:rsidRPr="008C500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27E2554" w14:textId="77777777" w:rsidR="00C228EC" w:rsidRPr="008C500A" w:rsidRDefault="00C228EC" w:rsidP="00C228EC">
      <w:pPr>
        <w:jc w:val="both"/>
        <w:rPr>
          <w:rFonts w:cstheme="minorHAnsi"/>
          <w:sz w:val="24"/>
          <w:szCs w:val="24"/>
          <w:vertAlign w:val="superscript"/>
        </w:rPr>
      </w:pPr>
    </w:p>
    <w:p w14:paraId="0326575B" w14:textId="77777777" w:rsidR="00B23659" w:rsidRDefault="00B23659" w:rsidP="00C228EC">
      <w:pPr>
        <w:jc w:val="both"/>
        <w:rPr>
          <w:rFonts w:cstheme="minorHAnsi"/>
          <w:sz w:val="24"/>
          <w:szCs w:val="24"/>
        </w:rPr>
      </w:pPr>
    </w:p>
    <w:p w14:paraId="727E2555" w14:textId="70F1DDC0" w:rsidR="00C228EC" w:rsidRPr="008C500A" w:rsidRDefault="00C228EC" w:rsidP="00C228EC">
      <w:pPr>
        <w:jc w:val="both"/>
        <w:rPr>
          <w:rFonts w:cstheme="minorHAnsi"/>
          <w:sz w:val="24"/>
          <w:szCs w:val="24"/>
        </w:rPr>
      </w:pPr>
      <w:r w:rsidRPr="008C500A">
        <w:rPr>
          <w:rFonts w:cstheme="minorHAnsi"/>
          <w:sz w:val="24"/>
          <w:szCs w:val="24"/>
        </w:rPr>
        <w:t xml:space="preserve">The </w:t>
      </w:r>
      <w:r w:rsidR="007A0FA0" w:rsidRPr="00D645AC">
        <w:rPr>
          <w:rFonts w:cstheme="minorHAnsi"/>
          <w:sz w:val="24"/>
          <w:szCs w:val="24"/>
        </w:rPr>
        <w:t>Fund</w:t>
      </w:r>
      <w:r w:rsidRPr="00D645AC">
        <w:rPr>
          <w:rFonts w:cstheme="minorHAnsi"/>
          <w:sz w:val="24"/>
          <w:szCs w:val="24"/>
        </w:rPr>
        <w:t xml:space="preserve"> is exposed to </w:t>
      </w:r>
      <w:proofErr w:type="gramStart"/>
      <w:r w:rsidRPr="00D645AC">
        <w:rPr>
          <w:rFonts w:cstheme="minorHAnsi"/>
          <w:sz w:val="24"/>
          <w:szCs w:val="24"/>
        </w:rPr>
        <w:t>a number of</w:t>
      </w:r>
      <w:proofErr w:type="gramEnd"/>
      <w:r w:rsidRPr="00D645AC">
        <w:rPr>
          <w:rFonts w:cstheme="minorHAnsi"/>
          <w:sz w:val="24"/>
          <w:szCs w:val="24"/>
        </w:rPr>
        <w:t xml:space="preserve"> underlying risks relating to the </w:t>
      </w:r>
      <w:r w:rsidR="007A0FA0" w:rsidRPr="00D645AC">
        <w:rPr>
          <w:rFonts w:cstheme="minorHAnsi"/>
          <w:sz w:val="24"/>
          <w:szCs w:val="24"/>
        </w:rPr>
        <w:t>Fund</w:t>
      </w:r>
      <w:r w:rsidRPr="00D645AC">
        <w:rPr>
          <w:rFonts w:cstheme="minorHAnsi"/>
          <w:sz w:val="24"/>
          <w:szCs w:val="24"/>
        </w:rPr>
        <w:t>’s investment strategy, these are summarised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01"/>
      </w:tblGrid>
      <w:tr w:rsidR="00C228EC" w:rsidRPr="008C500A" w14:paraId="727E2559" w14:textId="77777777" w:rsidTr="37EDD754">
        <w:tc>
          <w:tcPr>
            <w:tcW w:w="1838" w:type="dxa"/>
          </w:tcPr>
          <w:p w14:paraId="727E2556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Risk</w:t>
            </w:r>
          </w:p>
        </w:tc>
        <w:tc>
          <w:tcPr>
            <w:tcW w:w="2977" w:type="dxa"/>
          </w:tcPr>
          <w:p w14:paraId="727E2557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Definition</w:t>
            </w:r>
          </w:p>
        </w:tc>
        <w:tc>
          <w:tcPr>
            <w:tcW w:w="4201" w:type="dxa"/>
          </w:tcPr>
          <w:p w14:paraId="727E2558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4A2AE9">
              <w:rPr>
                <w:rFonts w:cstheme="minorHAnsi"/>
                <w:sz w:val="24"/>
                <w:szCs w:val="24"/>
              </w:rPr>
              <w:t>Policy</w:t>
            </w:r>
          </w:p>
        </w:tc>
      </w:tr>
      <w:tr w:rsidR="00C228EC" w:rsidRPr="008C500A" w14:paraId="727E255E" w14:textId="77777777" w:rsidTr="37EDD754">
        <w:tc>
          <w:tcPr>
            <w:tcW w:w="1838" w:type="dxa"/>
          </w:tcPr>
          <w:p w14:paraId="727E255A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Interest rates and inflation</w:t>
            </w:r>
          </w:p>
        </w:tc>
        <w:tc>
          <w:tcPr>
            <w:tcW w:w="2977" w:type="dxa"/>
          </w:tcPr>
          <w:p w14:paraId="727E255B" w14:textId="35FEE352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risk of mismatch </w:t>
            </w:r>
            <w:r w:rsidRPr="002A6981">
              <w:rPr>
                <w:rFonts w:cstheme="minorHAnsi"/>
                <w:sz w:val="24"/>
                <w:szCs w:val="24"/>
              </w:rPr>
              <w:t xml:space="preserve">between the value of the </w:t>
            </w:r>
            <w:r w:rsidR="007A0FA0" w:rsidRPr="002A6981">
              <w:rPr>
                <w:rFonts w:cstheme="minorHAnsi"/>
                <w:sz w:val="24"/>
                <w:szCs w:val="24"/>
              </w:rPr>
              <w:t>Fund</w:t>
            </w:r>
            <w:r w:rsidRPr="002A6981">
              <w:rPr>
                <w:rFonts w:cstheme="minorHAnsi"/>
                <w:sz w:val="24"/>
                <w:szCs w:val="24"/>
              </w:rPr>
              <w:t xml:space="preserve"> assets and present value o</w:t>
            </w:r>
            <w:r w:rsidRPr="008C500A">
              <w:rPr>
                <w:rFonts w:cstheme="minorHAnsi"/>
                <w:sz w:val="24"/>
                <w:szCs w:val="24"/>
              </w:rPr>
              <w:t xml:space="preserve">f liabilities from </w:t>
            </w:r>
            <w:r w:rsidRPr="008C500A">
              <w:rPr>
                <w:rFonts w:cstheme="minorHAnsi"/>
                <w:sz w:val="24"/>
                <w:szCs w:val="24"/>
              </w:rPr>
              <w:lastRenderedPageBreak/>
              <w:t>changes in interest rates and inflation expectations.</w:t>
            </w:r>
          </w:p>
        </w:tc>
        <w:tc>
          <w:tcPr>
            <w:tcW w:w="4201" w:type="dxa"/>
          </w:tcPr>
          <w:p w14:paraId="727E255D" w14:textId="6B92C9D5" w:rsidR="00C228EC" w:rsidRPr="008C500A" w:rsidRDefault="00C228EC" w:rsidP="004A2AE9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lastRenderedPageBreak/>
              <w:t xml:space="preserve">To hedge </w:t>
            </w:r>
            <w:r w:rsidR="004A2AE9">
              <w:rPr>
                <w:rFonts w:cstheme="minorHAnsi"/>
                <w:sz w:val="24"/>
                <w:szCs w:val="24"/>
              </w:rPr>
              <w:t xml:space="preserve">100% of </w:t>
            </w:r>
            <w:r w:rsidRPr="008C500A">
              <w:rPr>
                <w:rFonts w:cstheme="minorHAnsi"/>
                <w:sz w:val="24"/>
                <w:szCs w:val="24"/>
              </w:rPr>
              <w:t>these risks</w:t>
            </w:r>
            <w:r w:rsidR="005A6E28">
              <w:rPr>
                <w:rFonts w:cstheme="minorHAnsi"/>
                <w:sz w:val="24"/>
                <w:szCs w:val="24"/>
              </w:rPr>
              <w:t xml:space="preserve"> </w:t>
            </w:r>
            <w:r w:rsidR="004A2AE9">
              <w:rPr>
                <w:rFonts w:cstheme="minorHAnsi"/>
                <w:sz w:val="24"/>
                <w:szCs w:val="24"/>
              </w:rPr>
              <w:t xml:space="preserve">on a solvency basis. </w:t>
            </w:r>
            <w:r w:rsidRPr="008C500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28EC" w:rsidRPr="008C500A" w14:paraId="727E2563" w14:textId="77777777" w:rsidTr="37EDD754">
        <w:tc>
          <w:tcPr>
            <w:tcW w:w="1838" w:type="dxa"/>
          </w:tcPr>
          <w:p w14:paraId="727E255F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Liquidity</w:t>
            </w:r>
          </w:p>
        </w:tc>
        <w:tc>
          <w:tcPr>
            <w:tcW w:w="2977" w:type="dxa"/>
          </w:tcPr>
          <w:p w14:paraId="727E2560" w14:textId="77777777" w:rsidR="00C228EC" w:rsidRPr="008C500A" w:rsidRDefault="00C228EC" w:rsidP="00C228E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Difficulties in raising sufficient cash when required without adversely impacting the fair market value of the investment. </w:t>
            </w:r>
          </w:p>
          <w:p w14:paraId="727E2561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27E2562" w14:textId="2514CC62" w:rsidR="00161A5F" w:rsidRPr="008C500A" w:rsidRDefault="00161A5F" w:rsidP="0020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Trustee</w:t>
            </w:r>
            <w:r w:rsidR="00D36412">
              <w:rPr>
                <w:sz w:val="24"/>
                <w:szCs w:val="24"/>
              </w:rPr>
              <w:t xml:space="preserve">, with support of the Principal Employer, has </w:t>
            </w:r>
            <w:r w:rsidR="0018376A">
              <w:rPr>
                <w:sz w:val="24"/>
                <w:szCs w:val="24"/>
              </w:rPr>
              <w:t xml:space="preserve">agreed to maintain a large cash </w:t>
            </w:r>
            <w:r w:rsidR="009B3164">
              <w:rPr>
                <w:sz w:val="24"/>
                <w:szCs w:val="24"/>
              </w:rPr>
              <w:t xml:space="preserve">holding </w:t>
            </w:r>
            <w:proofErr w:type="gramStart"/>
            <w:r w:rsidR="009B3164">
              <w:rPr>
                <w:sz w:val="24"/>
                <w:szCs w:val="24"/>
              </w:rPr>
              <w:t xml:space="preserve">in order </w:t>
            </w:r>
            <w:r w:rsidR="005D1BA2">
              <w:rPr>
                <w:sz w:val="24"/>
                <w:szCs w:val="24"/>
              </w:rPr>
              <w:t>to</w:t>
            </w:r>
            <w:proofErr w:type="gramEnd"/>
            <w:r w:rsidR="005D1BA2">
              <w:rPr>
                <w:sz w:val="24"/>
                <w:szCs w:val="24"/>
              </w:rPr>
              <w:t xml:space="preserve"> </w:t>
            </w:r>
            <w:r w:rsidR="00CB3C6D">
              <w:rPr>
                <w:sz w:val="24"/>
                <w:szCs w:val="24"/>
              </w:rPr>
              <w:t>meet</w:t>
            </w:r>
            <w:r w:rsidR="005D1BA2">
              <w:rPr>
                <w:sz w:val="24"/>
                <w:szCs w:val="24"/>
              </w:rPr>
              <w:t xml:space="preserve"> ongoing Scheme cashflows</w:t>
            </w:r>
            <w:r w:rsidR="00CB3C6D">
              <w:rPr>
                <w:sz w:val="24"/>
                <w:szCs w:val="24"/>
              </w:rPr>
              <w:t xml:space="preserve"> and </w:t>
            </w:r>
            <w:r w:rsidR="00941494">
              <w:rPr>
                <w:sz w:val="24"/>
                <w:szCs w:val="24"/>
              </w:rPr>
              <w:t xml:space="preserve">manage risk as </w:t>
            </w:r>
            <w:r w:rsidR="003E6CFB">
              <w:rPr>
                <w:sz w:val="24"/>
                <w:szCs w:val="24"/>
              </w:rPr>
              <w:t xml:space="preserve">a full member buy-in is </w:t>
            </w:r>
            <w:r w:rsidR="00EB2738">
              <w:rPr>
                <w:sz w:val="24"/>
                <w:szCs w:val="24"/>
              </w:rPr>
              <w:t>targeted over the short term.</w:t>
            </w:r>
          </w:p>
        </w:tc>
      </w:tr>
      <w:tr w:rsidR="00C228EC" w:rsidRPr="008C500A" w14:paraId="727E2569" w14:textId="77777777" w:rsidTr="37EDD754">
        <w:tc>
          <w:tcPr>
            <w:tcW w:w="1838" w:type="dxa"/>
          </w:tcPr>
          <w:p w14:paraId="727E2564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Market </w:t>
            </w:r>
          </w:p>
          <w:p w14:paraId="727E2565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7E2566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Experiencing losses due to factors that affect the overall performance of the financial </w:t>
            </w:r>
            <w:r w:rsidRPr="008C500A">
              <w:rPr>
                <w:rFonts w:cstheme="minorHAnsi"/>
                <w:bCs/>
                <w:sz w:val="24"/>
                <w:szCs w:val="24"/>
              </w:rPr>
              <w:t>markets.</w:t>
            </w:r>
          </w:p>
        </w:tc>
        <w:tc>
          <w:tcPr>
            <w:tcW w:w="4201" w:type="dxa"/>
          </w:tcPr>
          <w:p w14:paraId="727E2567" w14:textId="7E395301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5662DA">
              <w:rPr>
                <w:rFonts w:cstheme="minorHAnsi"/>
                <w:sz w:val="24"/>
                <w:szCs w:val="24"/>
              </w:rPr>
              <w:t>To hedge away any unrewarded risks, where practicable.</w:t>
            </w:r>
            <w:r w:rsidRPr="008C500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7E2568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8EC" w:rsidRPr="008C500A" w14:paraId="727E256F" w14:textId="77777777" w:rsidTr="37EDD754">
        <w:tc>
          <w:tcPr>
            <w:tcW w:w="1838" w:type="dxa"/>
          </w:tcPr>
          <w:p w14:paraId="727E256A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Credit</w:t>
            </w:r>
          </w:p>
        </w:tc>
        <w:tc>
          <w:tcPr>
            <w:tcW w:w="2977" w:type="dxa"/>
          </w:tcPr>
          <w:p w14:paraId="727E256B" w14:textId="77777777" w:rsidR="00C228EC" w:rsidRPr="008C500A" w:rsidRDefault="00C228EC" w:rsidP="00C228E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Default on payments due as part of a financial security contract.</w:t>
            </w:r>
          </w:p>
          <w:p w14:paraId="727E256C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C1ACEB" w14:textId="68619367" w:rsidR="001D5855" w:rsidRDefault="004F59B6" w:rsidP="00C228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Beyon</w:t>
            </w:r>
            <w:r w:rsidR="00F5679C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 xml:space="preserve"> the Fund’s gilt investments, the Trustee’s </w:t>
            </w:r>
            <w:r w:rsidR="00F5679C">
              <w:rPr>
                <w:rFonts w:cstheme="minorHAnsi"/>
                <w:sz w:val="24"/>
                <w:szCs w:val="24"/>
              </w:rPr>
              <w:t xml:space="preserve">cash holdings are invested in an institutional money market fund, which </w:t>
            </w:r>
            <w:r w:rsidR="00C30EF6">
              <w:rPr>
                <w:rFonts w:cstheme="minorHAnsi"/>
                <w:sz w:val="24"/>
                <w:szCs w:val="24"/>
              </w:rPr>
              <w:t xml:space="preserve">invests </w:t>
            </w:r>
            <w:r w:rsidR="00774537">
              <w:rPr>
                <w:rFonts w:cstheme="minorHAnsi"/>
                <w:sz w:val="24"/>
                <w:szCs w:val="24"/>
              </w:rPr>
              <w:t xml:space="preserve">in a wide range of low risk, investment grade money market instruments. </w:t>
            </w:r>
          </w:p>
          <w:p w14:paraId="17190E03" w14:textId="56B116B9" w:rsidR="00666196" w:rsidRDefault="00D54BB3" w:rsidP="00C228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7E256E" w14:textId="02B0010D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28EC" w:rsidRPr="008C500A" w14:paraId="727E2579" w14:textId="77777777" w:rsidTr="37EDD754">
        <w:tc>
          <w:tcPr>
            <w:tcW w:w="1838" w:type="dxa"/>
          </w:tcPr>
          <w:p w14:paraId="727E2570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Environmental, Social and Governance</w:t>
            </w:r>
          </w:p>
        </w:tc>
        <w:tc>
          <w:tcPr>
            <w:tcW w:w="2977" w:type="dxa"/>
          </w:tcPr>
          <w:p w14:paraId="727E2571" w14:textId="6F3E5E1E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Exposure to Environmental, Social and Governance factors, including but not limited to climate change, which can impact the performance of </w:t>
            </w:r>
            <w:r w:rsidRPr="002A6981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2A6981">
              <w:rPr>
                <w:rFonts w:cstheme="minorHAnsi"/>
                <w:sz w:val="24"/>
                <w:szCs w:val="24"/>
              </w:rPr>
              <w:t>Fund</w:t>
            </w:r>
            <w:r w:rsidRPr="002A6981">
              <w:rPr>
                <w:rFonts w:cstheme="minorHAnsi"/>
                <w:sz w:val="24"/>
                <w:szCs w:val="24"/>
              </w:rPr>
              <w:t>’s investments.</w:t>
            </w:r>
          </w:p>
        </w:tc>
        <w:tc>
          <w:tcPr>
            <w:tcW w:w="4201" w:type="dxa"/>
          </w:tcPr>
          <w:p w14:paraId="727E2572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To appoint managers who satisfy the following criteria, unless there is a good reason why the manager does not satisfy each </w:t>
            </w:r>
            <w:proofErr w:type="gramStart"/>
            <w:r w:rsidRPr="008C500A">
              <w:rPr>
                <w:rFonts w:cstheme="minorHAnsi"/>
                <w:sz w:val="24"/>
                <w:szCs w:val="24"/>
              </w:rPr>
              <w:t>criteria</w:t>
            </w:r>
            <w:proofErr w:type="gramEnd"/>
            <w:r w:rsidRPr="008C500A">
              <w:rPr>
                <w:rFonts w:cstheme="minorHAnsi"/>
                <w:sz w:val="24"/>
                <w:szCs w:val="24"/>
              </w:rPr>
              <w:t>:</w:t>
            </w:r>
          </w:p>
          <w:p w14:paraId="727E2573" w14:textId="363993AA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1. Responsible Investment (</w:t>
            </w:r>
            <w:r w:rsidR="002E5699">
              <w:rPr>
                <w:rFonts w:cstheme="minorHAnsi"/>
                <w:sz w:val="24"/>
                <w:szCs w:val="24"/>
              </w:rPr>
              <w:t>“</w:t>
            </w:r>
            <w:r w:rsidRPr="008C500A">
              <w:rPr>
                <w:rFonts w:cstheme="minorHAnsi"/>
                <w:sz w:val="24"/>
                <w:szCs w:val="24"/>
              </w:rPr>
              <w:t>RI</w:t>
            </w:r>
            <w:r w:rsidR="002E5699">
              <w:rPr>
                <w:rFonts w:cstheme="minorHAnsi"/>
                <w:sz w:val="24"/>
                <w:szCs w:val="24"/>
              </w:rPr>
              <w:t>”</w:t>
            </w:r>
            <w:r w:rsidRPr="008C500A">
              <w:rPr>
                <w:rFonts w:cstheme="minorHAnsi"/>
                <w:sz w:val="24"/>
                <w:szCs w:val="24"/>
              </w:rPr>
              <w:t xml:space="preserve">) Policy / Framework </w:t>
            </w:r>
          </w:p>
          <w:p w14:paraId="727E2574" w14:textId="67D00BC3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2. Implemented via </w:t>
            </w:r>
            <w:r w:rsidR="002E5699">
              <w:rPr>
                <w:rFonts w:cstheme="minorHAnsi"/>
                <w:sz w:val="24"/>
                <w:szCs w:val="24"/>
              </w:rPr>
              <w:t>i</w:t>
            </w:r>
            <w:r w:rsidRPr="008C500A">
              <w:rPr>
                <w:rFonts w:cstheme="minorHAnsi"/>
                <w:sz w:val="24"/>
                <w:szCs w:val="24"/>
              </w:rPr>
              <w:t xml:space="preserve">nvestment </w:t>
            </w:r>
            <w:r w:rsidR="002E5699">
              <w:rPr>
                <w:rFonts w:cstheme="minorHAnsi"/>
                <w:sz w:val="24"/>
                <w:szCs w:val="24"/>
              </w:rPr>
              <w:t>p</w:t>
            </w:r>
            <w:r w:rsidRPr="008C500A">
              <w:rPr>
                <w:rFonts w:cstheme="minorHAnsi"/>
                <w:sz w:val="24"/>
                <w:szCs w:val="24"/>
              </w:rPr>
              <w:t xml:space="preserve">rocess </w:t>
            </w:r>
          </w:p>
          <w:p w14:paraId="727E2575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3. A track record of using engagement and any voting rights to manage </w:t>
            </w:r>
            <w:proofErr w:type="spellStart"/>
            <w:r w:rsidRPr="008C500A">
              <w:rPr>
                <w:rFonts w:cstheme="minorHAnsi"/>
                <w:sz w:val="24"/>
                <w:szCs w:val="24"/>
              </w:rPr>
              <w:t>ESG</w:t>
            </w:r>
            <w:proofErr w:type="spellEnd"/>
            <w:r w:rsidRPr="008C500A">
              <w:rPr>
                <w:rFonts w:cstheme="minorHAnsi"/>
                <w:sz w:val="24"/>
                <w:szCs w:val="24"/>
              </w:rPr>
              <w:t xml:space="preserve"> factors </w:t>
            </w:r>
          </w:p>
          <w:p w14:paraId="727E2576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8C500A">
              <w:rPr>
                <w:rFonts w:cstheme="minorHAnsi"/>
                <w:sz w:val="24"/>
                <w:szCs w:val="24"/>
              </w:rPr>
              <w:t>ESG</w:t>
            </w:r>
            <w:proofErr w:type="spellEnd"/>
            <w:r w:rsidRPr="008C500A">
              <w:rPr>
                <w:rFonts w:cstheme="minorHAnsi"/>
                <w:sz w:val="24"/>
                <w:szCs w:val="24"/>
              </w:rPr>
              <w:t xml:space="preserve"> specific reporting</w:t>
            </w:r>
          </w:p>
          <w:p w14:paraId="727E2577" w14:textId="7EDA3ECC" w:rsidR="00C228EC" w:rsidRPr="00135585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135585">
              <w:rPr>
                <w:rFonts w:cstheme="minorHAnsi"/>
                <w:sz w:val="24"/>
                <w:szCs w:val="24"/>
              </w:rPr>
              <w:t xml:space="preserve">5. UN PRI </w:t>
            </w:r>
            <w:r w:rsidR="0075123A" w:rsidRPr="00135585">
              <w:rPr>
                <w:rFonts w:cstheme="minorHAnsi"/>
                <w:sz w:val="24"/>
                <w:szCs w:val="24"/>
              </w:rPr>
              <w:t>s</w:t>
            </w:r>
            <w:r w:rsidRPr="00135585">
              <w:rPr>
                <w:rFonts w:cstheme="minorHAnsi"/>
                <w:sz w:val="24"/>
                <w:szCs w:val="24"/>
              </w:rPr>
              <w:t>ignatory</w:t>
            </w:r>
          </w:p>
          <w:p w14:paraId="4B171A82" w14:textId="00C42D21" w:rsidR="008D0140" w:rsidRPr="008C500A" w:rsidRDefault="008D0140" w:rsidP="00C228EC">
            <w:pPr>
              <w:rPr>
                <w:rFonts w:cstheme="minorHAnsi"/>
                <w:sz w:val="24"/>
                <w:szCs w:val="24"/>
              </w:rPr>
            </w:pPr>
            <w:r w:rsidRPr="00135585">
              <w:rPr>
                <w:rFonts w:cstheme="minorHAnsi"/>
                <w:sz w:val="24"/>
                <w:szCs w:val="24"/>
              </w:rPr>
              <w:t>6. UK Stewardship Code signatory</w:t>
            </w:r>
          </w:p>
          <w:p w14:paraId="25A62F49" w14:textId="77777777" w:rsidR="00135585" w:rsidRDefault="00135585" w:rsidP="00C228EC">
            <w:pPr>
              <w:rPr>
                <w:rFonts w:cstheme="minorHAnsi"/>
                <w:sz w:val="24"/>
                <w:szCs w:val="24"/>
              </w:rPr>
            </w:pPr>
          </w:p>
          <w:p w14:paraId="727E2578" w14:textId="0D4831AB" w:rsidR="00C228EC" w:rsidRPr="008C500A" w:rsidRDefault="00C228EC" w:rsidP="00C228EC">
            <w:pPr>
              <w:rPr>
                <w:rFonts w:cstheme="minorHAnsi"/>
                <w:color w:val="00338D"/>
                <w:sz w:val="20"/>
                <w:szCs w:val="20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135585">
              <w:rPr>
                <w:rFonts w:cstheme="minorHAnsi"/>
                <w:sz w:val="24"/>
                <w:szCs w:val="24"/>
              </w:rPr>
              <w:t>Trustee</w:t>
            </w:r>
            <w:r w:rsidRPr="008C500A">
              <w:rPr>
                <w:rFonts w:cstheme="minorHAnsi"/>
                <w:sz w:val="24"/>
                <w:szCs w:val="24"/>
              </w:rPr>
              <w:t xml:space="preserve"> monitor</w:t>
            </w:r>
            <w:r w:rsidR="00135585">
              <w:rPr>
                <w:rFonts w:cstheme="minorHAnsi"/>
                <w:sz w:val="24"/>
                <w:szCs w:val="24"/>
              </w:rPr>
              <w:t>s</w:t>
            </w:r>
            <w:r w:rsidRPr="008C500A">
              <w:rPr>
                <w:rFonts w:cstheme="minorHAnsi"/>
                <w:sz w:val="24"/>
                <w:szCs w:val="24"/>
              </w:rPr>
              <w:t xml:space="preserve"> the man</w:t>
            </w:r>
            <w:r w:rsidR="009A2172" w:rsidRPr="008C500A">
              <w:rPr>
                <w:rFonts w:cstheme="minorHAnsi"/>
                <w:sz w:val="24"/>
                <w:szCs w:val="24"/>
              </w:rPr>
              <w:t>a</w:t>
            </w:r>
            <w:r w:rsidRPr="008C500A">
              <w:rPr>
                <w:rFonts w:cstheme="minorHAnsi"/>
                <w:sz w:val="24"/>
                <w:szCs w:val="24"/>
              </w:rPr>
              <w:t xml:space="preserve">gers on an ongoing basis. </w:t>
            </w:r>
          </w:p>
        </w:tc>
      </w:tr>
      <w:tr w:rsidR="00C228EC" w:rsidRPr="008C500A" w14:paraId="727E257F" w14:textId="77777777" w:rsidTr="37EDD754">
        <w:tc>
          <w:tcPr>
            <w:tcW w:w="1838" w:type="dxa"/>
          </w:tcPr>
          <w:p w14:paraId="727E257A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Currency</w:t>
            </w:r>
          </w:p>
        </w:tc>
        <w:tc>
          <w:tcPr>
            <w:tcW w:w="2977" w:type="dxa"/>
          </w:tcPr>
          <w:p w14:paraId="727E257B" w14:textId="09FD9DBD" w:rsidR="00C228EC" w:rsidRPr="002A6981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2A6981">
              <w:rPr>
                <w:rFonts w:cstheme="minorHAnsi"/>
                <w:sz w:val="24"/>
                <w:szCs w:val="24"/>
              </w:rPr>
              <w:t xml:space="preserve">The potential for adverse currency movements to have an impact on the </w:t>
            </w:r>
            <w:r w:rsidR="007A0FA0" w:rsidRPr="002A6981">
              <w:rPr>
                <w:rFonts w:cstheme="minorHAnsi"/>
                <w:sz w:val="24"/>
                <w:szCs w:val="24"/>
              </w:rPr>
              <w:t>Fund</w:t>
            </w:r>
            <w:r w:rsidRPr="002A6981">
              <w:rPr>
                <w:rFonts w:cstheme="minorHAnsi"/>
                <w:sz w:val="24"/>
                <w:szCs w:val="24"/>
              </w:rPr>
              <w:t>’s investments.</w:t>
            </w:r>
          </w:p>
        </w:tc>
        <w:tc>
          <w:tcPr>
            <w:tcW w:w="4201" w:type="dxa"/>
          </w:tcPr>
          <w:p w14:paraId="727E257C" w14:textId="77777777" w:rsidR="00C228EC" w:rsidRPr="008C500A" w:rsidRDefault="00C228EC" w:rsidP="00E52C6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Hedge all currency risk on all assets that deliver a return through contractual income.</w:t>
            </w:r>
          </w:p>
          <w:p w14:paraId="727E257E" w14:textId="77777777" w:rsidR="00C228EC" w:rsidRPr="008C500A" w:rsidRDefault="00C228EC" w:rsidP="000F6909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228EC" w:rsidRPr="008C500A" w14:paraId="727E2583" w14:textId="77777777" w:rsidTr="37EDD754">
        <w:tc>
          <w:tcPr>
            <w:tcW w:w="1838" w:type="dxa"/>
          </w:tcPr>
          <w:p w14:paraId="727E2580" w14:textId="77777777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>Non-financial</w:t>
            </w:r>
          </w:p>
        </w:tc>
        <w:tc>
          <w:tcPr>
            <w:tcW w:w="2977" w:type="dxa"/>
          </w:tcPr>
          <w:p w14:paraId="727E2581" w14:textId="45D87B0E" w:rsidR="00C228EC" w:rsidRPr="002A6981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2A6981">
              <w:rPr>
                <w:rFonts w:cstheme="minorHAnsi"/>
                <w:sz w:val="24"/>
                <w:szCs w:val="24"/>
              </w:rPr>
              <w:t xml:space="preserve">Any factor that is not expected to have a financial impact on the </w:t>
            </w:r>
            <w:r w:rsidR="007A0FA0" w:rsidRPr="002A6981">
              <w:rPr>
                <w:rFonts w:cstheme="minorHAnsi"/>
                <w:sz w:val="24"/>
                <w:szCs w:val="24"/>
              </w:rPr>
              <w:t>Fund</w:t>
            </w:r>
            <w:r w:rsidRPr="002A6981">
              <w:rPr>
                <w:rFonts w:cstheme="minorHAnsi"/>
                <w:sz w:val="24"/>
                <w:szCs w:val="24"/>
              </w:rPr>
              <w:t>’s investments.</w:t>
            </w:r>
          </w:p>
        </w:tc>
        <w:tc>
          <w:tcPr>
            <w:tcW w:w="4201" w:type="dxa"/>
          </w:tcPr>
          <w:p w14:paraId="727E2582" w14:textId="123EEFAD" w:rsidR="00C228EC" w:rsidRPr="008C500A" w:rsidRDefault="00C228EC" w:rsidP="00C228EC">
            <w:pPr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Non-financial matters are not </w:t>
            </w:r>
            <w:proofErr w:type="gramStart"/>
            <w:r w:rsidRPr="008C500A">
              <w:rPr>
                <w:rFonts w:cstheme="minorHAnsi"/>
                <w:sz w:val="24"/>
                <w:szCs w:val="24"/>
              </w:rPr>
              <w:t>taken into account</w:t>
            </w:r>
            <w:proofErr w:type="gramEnd"/>
            <w:r w:rsidRPr="008C500A">
              <w:rPr>
                <w:rFonts w:cstheme="minorHAnsi"/>
                <w:sz w:val="24"/>
                <w:szCs w:val="24"/>
              </w:rPr>
              <w:t xml:space="preserve"> in the selection, retention or realisation of investments.</w:t>
            </w:r>
          </w:p>
        </w:tc>
      </w:tr>
    </w:tbl>
    <w:p w14:paraId="727E2584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</w:p>
    <w:p w14:paraId="727E2585" w14:textId="77777777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br w:type="page"/>
      </w:r>
    </w:p>
    <w:p w14:paraId="727E2586" w14:textId="1146821F" w:rsidR="00C228EC" w:rsidRPr="008C500A" w:rsidRDefault="00C228EC" w:rsidP="00C228EC">
      <w:pPr>
        <w:jc w:val="both"/>
        <w:rPr>
          <w:rFonts w:cstheme="minorHAnsi"/>
          <w:b/>
          <w:sz w:val="24"/>
          <w:szCs w:val="24"/>
        </w:rPr>
      </w:pPr>
      <w:r w:rsidRPr="008C500A">
        <w:rPr>
          <w:rFonts w:cstheme="minorHAnsi"/>
          <w:b/>
          <w:sz w:val="24"/>
          <w:szCs w:val="24"/>
        </w:rPr>
        <w:lastRenderedPageBreak/>
        <w:t xml:space="preserve">Appendix C </w:t>
      </w:r>
    </w:p>
    <w:p w14:paraId="727E2587" w14:textId="2068F13E" w:rsidR="00C228EC" w:rsidRPr="00E3124F" w:rsidRDefault="00C228EC" w:rsidP="00C228EC">
      <w:pPr>
        <w:jc w:val="both"/>
        <w:rPr>
          <w:rFonts w:cstheme="minorHAnsi"/>
          <w:sz w:val="24"/>
          <w:szCs w:val="24"/>
        </w:rPr>
      </w:pPr>
      <w:r w:rsidRPr="00E3124F">
        <w:rPr>
          <w:rFonts w:cstheme="minorHAnsi"/>
          <w:sz w:val="24"/>
          <w:szCs w:val="24"/>
        </w:rPr>
        <w:t xml:space="preserve">The </w:t>
      </w:r>
      <w:r w:rsidR="007A0FA0" w:rsidRPr="00E3124F">
        <w:rPr>
          <w:rFonts w:cstheme="minorHAnsi"/>
          <w:sz w:val="24"/>
          <w:szCs w:val="24"/>
        </w:rPr>
        <w:t>Trustee</w:t>
      </w:r>
      <w:r w:rsidRPr="00E3124F">
        <w:rPr>
          <w:rFonts w:cstheme="minorHAnsi"/>
          <w:sz w:val="24"/>
          <w:szCs w:val="24"/>
        </w:rPr>
        <w:t xml:space="preserve"> ha</w:t>
      </w:r>
      <w:r w:rsidR="00E3124F" w:rsidRPr="00E3124F">
        <w:rPr>
          <w:rFonts w:cstheme="minorHAnsi"/>
          <w:sz w:val="24"/>
          <w:szCs w:val="24"/>
        </w:rPr>
        <w:t>s</w:t>
      </w:r>
      <w:r w:rsidRPr="00E3124F">
        <w:rPr>
          <w:rFonts w:cstheme="minorHAnsi"/>
          <w:sz w:val="24"/>
          <w:szCs w:val="24"/>
        </w:rPr>
        <w:t xml:space="preserve"> the following policies in relation to the investment management arrangements for the </w:t>
      </w:r>
      <w:r w:rsidR="007A0FA0" w:rsidRPr="00E3124F">
        <w:rPr>
          <w:rFonts w:cstheme="minorHAnsi"/>
          <w:sz w:val="24"/>
          <w:szCs w:val="24"/>
        </w:rPr>
        <w:t>Fund</w:t>
      </w:r>
      <w:r w:rsidRPr="00E3124F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228EC" w:rsidRPr="008C500A" w14:paraId="727E258B" w14:textId="77777777" w:rsidTr="37EDD754">
        <w:tc>
          <w:tcPr>
            <w:tcW w:w="3681" w:type="dxa"/>
          </w:tcPr>
          <w:p w14:paraId="727E2588" w14:textId="393A64F8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 xml:space="preserve">How the investment managers are incentivised to align their investment strategy and decisions </w:t>
            </w:r>
            <w:r w:rsidRPr="00E3124F">
              <w:rPr>
                <w:rFonts w:cstheme="minorHAnsi"/>
                <w:b/>
                <w:sz w:val="24"/>
                <w:szCs w:val="24"/>
              </w:rPr>
              <w:t xml:space="preserve">with the </w:t>
            </w:r>
            <w:r w:rsidR="007A0FA0" w:rsidRPr="00E3124F">
              <w:rPr>
                <w:rFonts w:cstheme="minorHAnsi"/>
                <w:b/>
                <w:sz w:val="24"/>
                <w:szCs w:val="24"/>
              </w:rPr>
              <w:t>Trustee</w:t>
            </w:r>
            <w:r w:rsidR="009D1922" w:rsidRPr="00E3124F">
              <w:rPr>
                <w:rFonts w:cstheme="minorHAnsi"/>
                <w:b/>
                <w:sz w:val="24"/>
                <w:szCs w:val="24"/>
              </w:rPr>
              <w:t>’</w:t>
            </w:r>
            <w:r w:rsidR="00E3124F" w:rsidRPr="00E3124F">
              <w:rPr>
                <w:rFonts w:cstheme="minorHAnsi"/>
                <w:b/>
                <w:sz w:val="24"/>
                <w:szCs w:val="24"/>
              </w:rPr>
              <w:t>s</w:t>
            </w:r>
            <w:r w:rsidRPr="00E3124F">
              <w:rPr>
                <w:rFonts w:cstheme="minorHAnsi"/>
                <w:b/>
                <w:sz w:val="24"/>
                <w:szCs w:val="24"/>
              </w:rPr>
              <w:t xml:space="preserve"> policies.</w:t>
            </w:r>
          </w:p>
        </w:tc>
        <w:tc>
          <w:tcPr>
            <w:tcW w:w="5335" w:type="dxa"/>
          </w:tcPr>
          <w:p w14:paraId="727E258A" w14:textId="625EF406" w:rsidR="00C228EC" w:rsidRPr="008C500A" w:rsidRDefault="00C228EC" w:rsidP="00E3124F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E3124F">
              <w:rPr>
                <w:sz w:val="24"/>
                <w:szCs w:val="24"/>
              </w:rPr>
              <w:t xml:space="preserve">As the </w:t>
            </w:r>
            <w:r w:rsidR="007A0FA0" w:rsidRPr="00E3124F">
              <w:rPr>
                <w:sz w:val="24"/>
                <w:szCs w:val="24"/>
              </w:rPr>
              <w:t>Fund</w:t>
            </w:r>
            <w:r w:rsidRPr="00E3124F">
              <w:rPr>
                <w:sz w:val="24"/>
                <w:szCs w:val="24"/>
              </w:rPr>
              <w:t xml:space="preserve"> is invested in pooled funds, there is not scope for these funds to tailor their strategy and decisions in line with the </w:t>
            </w:r>
            <w:r w:rsidR="007A0FA0" w:rsidRPr="00E3124F">
              <w:rPr>
                <w:sz w:val="24"/>
                <w:szCs w:val="24"/>
              </w:rPr>
              <w:t>Trustee</w:t>
            </w:r>
            <w:r w:rsidR="002E5699">
              <w:rPr>
                <w:sz w:val="24"/>
                <w:szCs w:val="24"/>
              </w:rPr>
              <w:t>’s</w:t>
            </w:r>
            <w:r w:rsidRPr="00E3124F">
              <w:rPr>
                <w:sz w:val="24"/>
                <w:szCs w:val="24"/>
              </w:rPr>
              <w:t xml:space="preserve"> policies. However, the </w:t>
            </w:r>
            <w:r w:rsidR="007A0FA0" w:rsidRPr="00E3124F">
              <w:rPr>
                <w:sz w:val="24"/>
                <w:szCs w:val="24"/>
              </w:rPr>
              <w:t>Trustee</w:t>
            </w:r>
            <w:r w:rsidRPr="00E3124F">
              <w:rPr>
                <w:sz w:val="24"/>
                <w:szCs w:val="24"/>
              </w:rPr>
              <w:t xml:space="preserve"> invest</w:t>
            </w:r>
            <w:r w:rsidR="00E3124F" w:rsidRPr="00E3124F">
              <w:rPr>
                <w:sz w:val="24"/>
                <w:szCs w:val="24"/>
              </w:rPr>
              <w:t>s</w:t>
            </w:r>
            <w:r w:rsidRPr="00E3124F">
              <w:rPr>
                <w:sz w:val="24"/>
                <w:szCs w:val="24"/>
              </w:rPr>
              <w:t xml:space="preserve"> in a portfolio of pooled funds that are aligned to the strategic objective. </w:t>
            </w:r>
          </w:p>
        </w:tc>
      </w:tr>
      <w:tr w:rsidR="00C228EC" w:rsidRPr="008C500A" w14:paraId="727E2590" w14:textId="77777777" w:rsidTr="37EDD754">
        <w:tc>
          <w:tcPr>
            <w:tcW w:w="3681" w:type="dxa"/>
          </w:tcPr>
          <w:p w14:paraId="727E258C" w14:textId="77777777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  <w:highlight w:val="cyan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>How the investment managers are incentivised to make decisions based on assessments of medium to long-term financial and non-financial performance of an issuer of debt or equity and to engage with them to improve performance in the medium to long-term.</w:t>
            </w:r>
          </w:p>
        </w:tc>
        <w:tc>
          <w:tcPr>
            <w:tcW w:w="5335" w:type="dxa"/>
          </w:tcPr>
          <w:p w14:paraId="727E258D" w14:textId="2E7BD452" w:rsidR="00C228EC" w:rsidRPr="001E2D2A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1E2D2A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1E2D2A">
              <w:rPr>
                <w:rFonts w:cstheme="minorHAnsi"/>
                <w:sz w:val="24"/>
                <w:szCs w:val="24"/>
              </w:rPr>
              <w:t>Trustee</w:t>
            </w:r>
            <w:r w:rsidRPr="001E2D2A">
              <w:rPr>
                <w:rFonts w:cstheme="minorHAnsi"/>
                <w:sz w:val="24"/>
                <w:szCs w:val="24"/>
              </w:rPr>
              <w:t xml:space="preserve"> review</w:t>
            </w:r>
            <w:r w:rsidR="00E3124F" w:rsidRPr="001E2D2A">
              <w:rPr>
                <w:rFonts w:cstheme="minorHAnsi"/>
                <w:sz w:val="24"/>
                <w:szCs w:val="24"/>
              </w:rPr>
              <w:t>s</w:t>
            </w:r>
            <w:r w:rsidRPr="001E2D2A">
              <w:rPr>
                <w:rFonts w:cstheme="minorHAnsi"/>
                <w:sz w:val="24"/>
                <w:szCs w:val="24"/>
              </w:rPr>
              <w:t xml:space="preserve"> the investment managers’ performance relative to medium and long-term objectives as documented in the investment management agreements.</w:t>
            </w:r>
          </w:p>
          <w:p w14:paraId="727E258E" w14:textId="7A11E390" w:rsidR="00C228EC" w:rsidRPr="001E2D2A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1E2D2A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1E2D2A">
              <w:rPr>
                <w:rFonts w:cstheme="minorHAnsi"/>
                <w:sz w:val="24"/>
                <w:szCs w:val="24"/>
              </w:rPr>
              <w:t>Trustee</w:t>
            </w:r>
            <w:r w:rsidRPr="001E2D2A">
              <w:rPr>
                <w:rFonts w:cstheme="minorHAnsi"/>
                <w:sz w:val="24"/>
                <w:szCs w:val="24"/>
              </w:rPr>
              <w:t xml:space="preserve"> monitor</w:t>
            </w:r>
            <w:r w:rsidR="001E2D2A" w:rsidRPr="001E2D2A">
              <w:rPr>
                <w:rFonts w:cstheme="minorHAnsi"/>
                <w:sz w:val="24"/>
                <w:szCs w:val="24"/>
              </w:rPr>
              <w:t>s</w:t>
            </w:r>
            <w:r w:rsidRPr="001E2D2A">
              <w:rPr>
                <w:rFonts w:cstheme="minorHAnsi"/>
                <w:sz w:val="24"/>
                <w:szCs w:val="24"/>
              </w:rPr>
              <w:t xml:space="preserve"> the investment managers’ engagement and voting activity on an annual basis as part of their </w:t>
            </w:r>
            <w:proofErr w:type="spellStart"/>
            <w:r w:rsidRPr="001E2D2A">
              <w:rPr>
                <w:rFonts w:cstheme="minorHAnsi"/>
                <w:sz w:val="24"/>
                <w:szCs w:val="24"/>
              </w:rPr>
              <w:t>ESG</w:t>
            </w:r>
            <w:proofErr w:type="spellEnd"/>
            <w:r w:rsidRPr="001E2D2A">
              <w:rPr>
                <w:rFonts w:cstheme="minorHAnsi"/>
                <w:sz w:val="24"/>
                <w:szCs w:val="24"/>
              </w:rPr>
              <w:t xml:space="preserve"> monitoring process.</w:t>
            </w:r>
          </w:p>
          <w:p w14:paraId="727E258F" w14:textId="3941850F" w:rsidR="00C228EC" w:rsidRPr="008C500A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1E2D2A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1E2D2A">
              <w:rPr>
                <w:rFonts w:cstheme="minorHAnsi"/>
                <w:sz w:val="24"/>
                <w:szCs w:val="24"/>
              </w:rPr>
              <w:t>Trustee</w:t>
            </w:r>
            <w:r w:rsidRPr="001E2D2A">
              <w:rPr>
                <w:rFonts w:cstheme="minorHAnsi"/>
                <w:sz w:val="24"/>
                <w:szCs w:val="24"/>
              </w:rPr>
              <w:t xml:space="preserve"> do</w:t>
            </w:r>
            <w:r w:rsidR="001E2D2A" w:rsidRPr="001E2D2A">
              <w:rPr>
                <w:rFonts w:cstheme="minorHAnsi"/>
                <w:sz w:val="24"/>
                <w:szCs w:val="24"/>
              </w:rPr>
              <w:t>es</w:t>
            </w:r>
            <w:r w:rsidRPr="001E2D2A">
              <w:rPr>
                <w:rFonts w:cstheme="minorHAnsi"/>
                <w:sz w:val="24"/>
                <w:szCs w:val="24"/>
              </w:rPr>
              <w:t xml:space="preserve"> not incentivise the investment managers to make decisions based on non-financial performance.</w:t>
            </w:r>
          </w:p>
        </w:tc>
      </w:tr>
      <w:tr w:rsidR="00C228EC" w:rsidRPr="008C500A" w14:paraId="727E2595" w14:textId="77777777" w:rsidTr="37EDD754">
        <w:tc>
          <w:tcPr>
            <w:tcW w:w="3681" w:type="dxa"/>
          </w:tcPr>
          <w:p w14:paraId="727E2591" w14:textId="5F17616A" w:rsidR="00C228EC" w:rsidRPr="0008006F" w:rsidRDefault="00C228EC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08006F">
              <w:rPr>
                <w:rFonts w:cstheme="minorHAnsi"/>
                <w:b/>
                <w:sz w:val="24"/>
                <w:szCs w:val="24"/>
              </w:rPr>
              <w:t xml:space="preserve">How the method (and time horizon) of the evaluation of investment managers’ performance and the remuneration for their services are in line with the </w:t>
            </w:r>
            <w:r w:rsidR="007A0FA0" w:rsidRPr="0008006F">
              <w:rPr>
                <w:rFonts w:cstheme="minorHAnsi"/>
                <w:b/>
                <w:sz w:val="24"/>
                <w:szCs w:val="24"/>
              </w:rPr>
              <w:t>Trustee</w:t>
            </w:r>
            <w:r w:rsidR="009D1922" w:rsidRPr="0008006F">
              <w:rPr>
                <w:rFonts w:cstheme="minorHAnsi"/>
                <w:b/>
                <w:sz w:val="24"/>
                <w:szCs w:val="24"/>
              </w:rPr>
              <w:t>’</w:t>
            </w:r>
            <w:r w:rsidR="0008006F" w:rsidRPr="0008006F">
              <w:rPr>
                <w:rFonts w:cstheme="minorHAnsi"/>
                <w:b/>
                <w:sz w:val="24"/>
                <w:szCs w:val="24"/>
              </w:rPr>
              <w:t>s</w:t>
            </w:r>
            <w:r w:rsidRPr="0008006F">
              <w:rPr>
                <w:rFonts w:cstheme="minorHAnsi"/>
                <w:b/>
                <w:sz w:val="24"/>
                <w:szCs w:val="24"/>
              </w:rPr>
              <w:t xml:space="preserve"> policies.</w:t>
            </w:r>
          </w:p>
        </w:tc>
        <w:tc>
          <w:tcPr>
            <w:tcW w:w="5335" w:type="dxa"/>
          </w:tcPr>
          <w:p w14:paraId="727E2592" w14:textId="20C46868" w:rsidR="00C228EC" w:rsidRPr="0008006F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08006F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08006F">
              <w:rPr>
                <w:rFonts w:cstheme="minorHAnsi"/>
                <w:sz w:val="24"/>
                <w:szCs w:val="24"/>
              </w:rPr>
              <w:t>Trustee</w:t>
            </w:r>
            <w:r w:rsidRPr="0008006F">
              <w:rPr>
                <w:rFonts w:cstheme="minorHAnsi"/>
                <w:sz w:val="24"/>
                <w:szCs w:val="24"/>
              </w:rPr>
              <w:t xml:space="preserve"> review</w:t>
            </w:r>
            <w:r w:rsidR="0008006F">
              <w:rPr>
                <w:rFonts w:cstheme="minorHAnsi"/>
                <w:sz w:val="24"/>
                <w:szCs w:val="24"/>
              </w:rPr>
              <w:t>s</w:t>
            </w:r>
            <w:r w:rsidRPr="0008006F">
              <w:rPr>
                <w:rFonts w:cstheme="minorHAnsi"/>
                <w:sz w:val="24"/>
                <w:szCs w:val="24"/>
              </w:rPr>
              <w:t xml:space="preserve"> the performance of </w:t>
            </w:r>
            <w:proofErr w:type="gramStart"/>
            <w:r w:rsidRPr="0008006F"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 w:rsidRPr="0008006F">
              <w:rPr>
                <w:rFonts w:cstheme="minorHAnsi"/>
                <w:sz w:val="24"/>
                <w:szCs w:val="24"/>
              </w:rPr>
              <w:t xml:space="preserve"> the </w:t>
            </w:r>
            <w:r w:rsidR="007A0FA0" w:rsidRPr="0008006F">
              <w:rPr>
                <w:rFonts w:cstheme="minorHAnsi"/>
                <w:sz w:val="24"/>
                <w:szCs w:val="24"/>
              </w:rPr>
              <w:t>Fund</w:t>
            </w:r>
            <w:r w:rsidRPr="0008006F">
              <w:rPr>
                <w:rFonts w:cstheme="minorHAnsi"/>
                <w:sz w:val="24"/>
                <w:szCs w:val="24"/>
              </w:rPr>
              <w:t>’s investments on a net of cost basis to ensure a true measurement of performance versus investment objectives.</w:t>
            </w:r>
          </w:p>
          <w:p w14:paraId="727E2594" w14:textId="2A12DC1C" w:rsidR="00C228EC" w:rsidRPr="0008006F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08006F">
              <w:rPr>
                <w:rFonts w:cstheme="minorHAnsi"/>
                <w:sz w:val="24"/>
                <w:szCs w:val="24"/>
              </w:rPr>
              <w:t>Investment manager fees are reviewed annually to make sure the correct amounts have been charged and that they remain competitive.</w:t>
            </w:r>
          </w:p>
        </w:tc>
      </w:tr>
      <w:tr w:rsidR="00C228EC" w:rsidRPr="008C500A" w14:paraId="727E2598" w14:textId="77777777" w:rsidTr="37EDD754">
        <w:tc>
          <w:tcPr>
            <w:tcW w:w="3681" w:type="dxa"/>
          </w:tcPr>
          <w:p w14:paraId="727E2596" w14:textId="77777777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>The method for monitoring portfolio turnover costs incurred by investment managers and how they define and monitor targeted portfolio turnover or turnover range.</w:t>
            </w:r>
          </w:p>
        </w:tc>
        <w:tc>
          <w:tcPr>
            <w:tcW w:w="5335" w:type="dxa"/>
          </w:tcPr>
          <w:p w14:paraId="727E2597" w14:textId="2F232704" w:rsidR="00C228EC" w:rsidRPr="008C500A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8C500A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343600">
              <w:rPr>
                <w:rFonts w:cstheme="minorHAnsi"/>
                <w:sz w:val="24"/>
                <w:szCs w:val="24"/>
              </w:rPr>
              <w:t>Trustee</w:t>
            </w:r>
            <w:r w:rsidRPr="00343600">
              <w:rPr>
                <w:rFonts w:cstheme="minorHAnsi"/>
                <w:sz w:val="24"/>
                <w:szCs w:val="24"/>
              </w:rPr>
              <w:t xml:space="preserve"> do</w:t>
            </w:r>
            <w:r w:rsidR="00DE50C7" w:rsidRPr="00343600">
              <w:rPr>
                <w:rFonts w:cstheme="minorHAnsi"/>
                <w:sz w:val="24"/>
                <w:szCs w:val="24"/>
              </w:rPr>
              <w:t>es</w:t>
            </w:r>
            <w:r w:rsidRPr="008C500A">
              <w:rPr>
                <w:rFonts w:cstheme="minorHAnsi"/>
                <w:sz w:val="24"/>
                <w:szCs w:val="24"/>
              </w:rPr>
              <w:t xml:space="preserve"> not directly monitor turnover costs. However, the investment managers are incentivised to minimise costs as they are measured on a net of cost basis.</w:t>
            </w:r>
          </w:p>
        </w:tc>
      </w:tr>
      <w:tr w:rsidR="00C228EC" w:rsidRPr="008C500A" w14:paraId="727E259D" w14:textId="77777777" w:rsidTr="37EDD754">
        <w:tc>
          <w:tcPr>
            <w:tcW w:w="3681" w:type="dxa"/>
          </w:tcPr>
          <w:p w14:paraId="727E2599" w14:textId="101494D8" w:rsidR="00C228EC" w:rsidRPr="008C500A" w:rsidRDefault="00C228EC" w:rsidP="00C228EC">
            <w:pPr>
              <w:rPr>
                <w:rFonts w:cstheme="minorHAnsi"/>
                <w:b/>
                <w:sz w:val="24"/>
                <w:szCs w:val="24"/>
                <w:highlight w:val="cyan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 xml:space="preserve">The duration of the </w:t>
            </w:r>
            <w:r w:rsidR="007A0FA0" w:rsidRPr="008C30D0">
              <w:rPr>
                <w:rFonts w:cstheme="minorHAnsi"/>
                <w:b/>
                <w:sz w:val="24"/>
                <w:szCs w:val="24"/>
              </w:rPr>
              <w:t>Fund</w:t>
            </w:r>
            <w:r w:rsidRPr="008C30D0">
              <w:rPr>
                <w:rFonts w:cstheme="minorHAnsi"/>
                <w:b/>
                <w:sz w:val="24"/>
                <w:szCs w:val="24"/>
              </w:rPr>
              <w:t>’s arrangements with the</w:t>
            </w:r>
            <w:r w:rsidRPr="008C500A">
              <w:rPr>
                <w:rFonts w:cstheme="minorHAnsi"/>
                <w:b/>
                <w:sz w:val="24"/>
                <w:szCs w:val="24"/>
              </w:rPr>
              <w:t xml:space="preserve"> investment managers</w:t>
            </w:r>
            <w:r w:rsidR="002E569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14:paraId="727E259A" w14:textId="24246261" w:rsidR="00C228EC" w:rsidRDefault="00C228EC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37008A">
              <w:rPr>
                <w:rFonts w:cstheme="minorHAnsi"/>
                <w:sz w:val="24"/>
                <w:szCs w:val="24"/>
              </w:rPr>
              <w:t xml:space="preserve">The duration of the arrangements is considered in the context of the type of fund the </w:t>
            </w:r>
            <w:r w:rsidR="007A0FA0" w:rsidRPr="0037008A">
              <w:rPr>
                <w:rFonts w:cstheme="minorHAnsi"/>
                <w:sz w:val="24"/>
                <w:szCs w:val="24"/>
              </w:rPr>
              <w:t>Fund</w:t>
            </w:r>
            <w:r w:rsidRPr="0037008A">
              <w:rPr>
                <w:rFonts w:cstheme="minorHAnsi"/>
                <w:sz w:val="24"/>
                <w:szCs w:val="24"/>
              </w:rPr>
              <w:t xml:space="preserve"> invests in. </w:t>
            </w:r>
          </w:p>
          <w:p w14:paraId="727E259C" w14:textId="284967D6" w:rsidR="00C228EC" w:rsidRPr="008C500A" w:rsidRDefault="00805F19" w:rsidP="000F6909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Trustee invest</w:t>
            </w:r>
            <w:r w:rsidR="002E5699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in open ended funds. The duration is </w:t>
            </w:r>
            <w:proofErr w:type="gramStart"/>
            <w:r>
              <w:rPr>
                <w:rFonts w:cstheme="minorHAnsi"/>
                <w:sz w:val="24"/>
                <w:szCs w:val="24"/>
              </w:rPr>
              <w:t>flexible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the Trustee</w:t>
            </w:r>
            <w:r w:rsidR="002836A7">
              <w:rPr>
                <w:rFonts w:cstheme="minorHAnsi"/>
                <w:sz w:val="24"/>
                <w:szCs w:val="24"/>
              </w:rPr>
              <w:t xml:space="preserve"> will from time to time consider the appropriateness of these investments and whether </w:t>
            </w:r>
            <w:r w:rsidR="002E5699">
              <w:rPr>
                <w:rFonts w:cstheme="minorHAnsi"/>
                <w:sz w:val="24"/>
                <w:szCs w:val="24"/>
              </w:rPr>
              <w:t xml:space="preserve">they </w:t>
            </w:r>
            <w:r w:rsidR="002836A7">
              <w:rPr>
                <w:rFonts w:cstheme="minorHAnsi"/>
                <w:sz w:val="24"/>
                <w:szCs w:val="24"/>
              </w:rPr>
              <w:t xml:space="preserve">should continue to be held. </w:t>
            </w:r>
          </w:p>
        </w:tc>
      </w:tr>
      <w:tr w:rsidR="008D0140" w:rsidRPr="008C500A" w14:paraId="4874DA1F" w14:textId="77777777" w:rsidTr="37EDD754">
        <w:tc>
          <w:tcPr>
            <w:tcW w:w="3681" w:type="dxa"/>
          </w:tcPr>
          <w:p w14:paraId="67A6A6D0" w14:textId="3360386B" w:rsidR="008D0140" w:rsidRPr="008C500A" w:rsidRDefault="00583F03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t xml:space="preserve">Voting Policy - How the </w:t>
            </w:r>
            <w:r w:rsidR="007A0FA0">
              <w:rPr>
                <w:rFonts w:cstheme="minorHAnsi"/>
                <w:b/>
                <w:sz w:val="24"/>
                <w:szCs w:val="24"/>
              </w:rPr>
              <w:t>Trustee</w:t>
            </w:r>
            <w:r w:rsidRPr="008C500A">
              <w:rPr>
                <w:rFonts w:cstheme="minorHAnsi"/>
                <w:b/>
                <w:sz w:val="24"/>
                <w:szCs w:val="24"/>
              </w:rPr>
              <w:t xml:space="preserve"> expect</w:t>
            </w:r>
            <w:r w:rsidR="00DF2F22">
              <w:rPr>
                <w:rFonts w:cstheme="minorHAnsi"/>
                <w:b/>
                <w:sz w:val="24"/>
                <w:szCs w:val="24"/>
              </w:rPr>
              <w:t>s</w:t>
            </w:r>
            <w:r w:rsidRPr="008C500A">
              <w:rPr>
                <w:rFonts w:cstheme="minorHAnsi"/>
                <w:b/>
                <w:sz w:val="24"/>
                <w:szCs w:val="24"/>
              </w:rPr>
              <w:t xml:space="preserve"> investment managers to vote on </w:t>
            </w:r>
            <w:r w:rsidR="002E5699">
              <w:rPr>
                <w:rFonts w:cstheme="minorHAnsi"/>
                <w:b/>
                <w:sz w:val="24"/>
                <w:szCs w:val="24"/>
              </w:rPr>
              <w:t>its</w:t>
            </w:r>
            <w:r w:rsidR="002E5699" w:rsidRPr="008C50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C500A">
              <w:rPr>
                <w:rFonts w:cstheme="minorHAnsi"/>
                <w:b/>
                <w:sz w:val="24"/>
                <w:szCs w:val="24"/>
              </w:rPr>
              <w:t>behalf</w:t>
            </w:r>
            <w:r w:rsidR="002E569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14:paraId="17959801" w14:textId="24CA8F02" w:rsidR="00B04FB0" w:rsidRPr="00DF2F22" w:rsidRDefault="00423CB5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Voting policy does not apply </w:t>
            </w:r>
            <w:r w:rsidR="00892ED9">
              <w:rPr>
                <w:rFonts w:cstheme="minorHAnsi"/>
                <w:sz w:val="24"/>
                <w:szCs w:val="24"/>
              </w:rPr>
              <w:t xml:space="preserve">to the Fund as the investment strategy is invested in </w:t>
            </w:r>
            <w:r w:rsidR="00892ED9">
              <w:rPr>
                <w:rFonts w:cstheme="minorHAnsi"/>
                <w:sz w:val="24"/>
                <w:szCs w:val="24"/>
              </w:rPr>
              <w:lastRenderedPageBreak/>
              <w:t>physical gilts and cash</w:t>
            </w:r>
            <w:r w:rsidR="00201A7E">
              <w:rPr>
                <w:rFonts w:cstheme="minorHAnsi"/>
                <w:sz w:val="24"/>
                <w:szCs w:val="24"/>
              </w:rPr>
              <w:t>. Voting rights do not apply to these asset classes/mandates.</w:t>
            </w:r>
          </w:p>
          <w:p w14:paraId="7F5A5B7E" w14:textId="1C544680" w:rsidR="001B2572" w:rsidRPr="008C500A" w:rsidRDefault="001B2572" w:rsidP="001B2572">
            <w:pPr>
              <w:ind w:left="720"/>
              <w:contextualSpacing/>
              <w:rPr>
                <w:rFonts w:cstheme="minorHAnsi"/>
                <w:sz w:val="24"/>
                <w:szCs w:val="24"/>
                <w:highlight w:val="cyan"/>
              </w:rPr>
            </w:pPr>
          </w:p>
        </w:tc>
      </w:tr>
      <w:tr w:rsidR="00583F03" w:rsidRPr="008C500A" w14:paraId="61D0E7A5" w14:textId="77777777" w:rsidTr="37EDD754">
        <w:tc>
          <w:tcPr>
            <w:tcW w:w="3681" w:type="dxa"/>
          </w:tcPr>
          <w:p w14:paraId="682E8D34" w14:textId="62ECCAC7" w:rsidR="00583F03" w:rsidRPr="008C500A" w:rsidDel="00583F03" w:rsidRDefault="00583F03" w:rsidP="00C228EC">
            <w:pPr>
              <w:rPr>
                <w:rFonts w:cstheme="minorHAnsi"/>
                <w:b/>
                <w:sz w:val="24"/>
                <w:szCs w:val="24"/>
              </w:rPr>
            </w:pPr>
            <w:r w:rsidRPr="008C500A">
              <w:rPr>
                <w:rFonts w:cstheme="minorHAnsi"/>
                <w:b/>
                <w:sz w:val="24"/>
                <w:szCs w:val="24"/>
              </w:rPr>
              <w:lastRenderedPageBreak/>
              <w:t xml:space="preserve">Engagement Policy - How the </w:t>
            </w:r>
            <w:r w:rsidR="007A0FA0">
              <w:rPr>
                <w:rFonts w:cstheme="minorHAnsi"/>
                <w:b/>
                <w:sz w:val="24"/>
                <w:szCs w:val="24"/>
              </w:rPr>
              <w:t>Trustee</w:t>
            </w:r>
            <w:r w:rsidRPr="008C50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26EA" w:rsidRPr="008C500A">
              <w:rPr>
                <w:rFonts w:cstheme="minorHAnsi"/>
                <w:b/>
                <w:sz w:val="24"/>
                <w:szCs w:val="24"/>
              </w:rPr>
              <w:t>will</w:t>
            </w:r>
            <w:r w:rsidRPr="008C500A">
              <w:rPr>
                <w:rFonts w:cstheme="minorHAnsi"/>
                <w:b/>
                <w:sz w:val="24"/>
                <w:szCs w:val="24"/>
              </w:rPr>
              <w:t xml:space="preserve"> engage with investment managers</w:t>
            </w:r>
            <w:r w:rsidR="00F10518" w:rsidRPr="008C500A">
              <w:rPr>
                <w:rFonts w:cstheme="minorHAnsi"/>
                <w:b/>
                <w:sz w:val="24"/>
                <w:szCs w:val="24"/>
              </w:rPr>
              <w:t xml:space="preserve">, direct </w:t>
            </w:r>
            <w:proofErr w:type="gramStart"/>
            <w:r w:rsidR="00F10518" w:rsidRPr="008C500A">
              <w:rPr>
                <w:rFonts w:cstheme="minorHAnsi"/>
                <w:b/>
                <w:sz w:val="24"/>
                <w:szCs w:val="24"/>
              </w:rPr>
              <w:t>assets</w:t>
            </w:r>
            <w:proofErr w:type="gramEnd"/>
            <w:r w:rsidR="00F10518" w:rsidRPr="008C500A">
              <w:rPr>
                <w:rFonts w:cstheme="minorHAnsi"/>
                <w:b/>
                <w:sz w:val="24"/>
                <w:szCs w:val="24"/>
              </w:rPr>
              <w:t xml:space="preserve"> and others</w:t>
            </w:r>
            <w:r w:rsidRPr="008C50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526EA" w:rsidRPr="008C500A">
              <w:rPr>
                <w:rFonts w:cstheme="minorHAnsi"/>
                <w:b/>
                <w:sz w:val="24"/>
                <w:szCs w:val="24"/>
              </w:rPr>
              <w:t xml:space="preserve">about ‘relevant matters’ </w:t>
            </w:r>
          </w:p>
        </w:tc>
        <w:tc>
          <w:tcPr>
            <w:tcW w:w="5335" w:type="dxa"/>
          </w:tcPr>
          <w:p w14:paraId="5A11DE32" w14:textId="0D612F06" w:rsidR="00F526EA" w:rsidRPr="00315F88" w:rsidRDefault="00F526EA" w:rsidP="00F526EA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315F88">
              <w:rPr>
                <w:rFonts w:cstheme="minorHAnsi"/>
                <w:sz w:val="24"/>
                <w:szCs w:val="24"/>
              </w:rPr>
              <w:t xml:space="preserve">The Trustee has acknowledged responsibility for the engagement policies that are implemented by the </w:t>
            </w:r>
            <w:r w:rsidR="007A0FA0" w:rsidRPr="00315F88">
              <w:rPr>
                <w:rFonts w:cstheme="minorHAnsi"/>
                <w:sz w:val="24"/>
                <w:szCs w:val="24"/>
              </w:rPr>
              <w:t>Fund</w:t>
            </w:r>
            <w:r w:rsidRPr="00315F88">
              <w:rPr>
                <w:rFonts w:cstheme="minorHAnsi"/>
                <w:sz w:val="24"/>
                <w:szCs w:val="24"/>
              </w:rPr>
              <w:t xml:space="preserve">’s investment managers on </w:t>
            </w:r>
            <w:r w:rsidR="002E5699">
              <w:rPr>
                <w:rFonts w:cstheme="minorHAnsi"/>
                <w:sz w:val="24"/>
                <w:szCs w:val="24"/>
              </w:rPr>
              <w:t>its</w:t>
            </w:r>
            <w:r w:rsidR="00200058">
              <w:rPr>
                <w:rFonts w:cstheme="minorHAnsi"/>
                <w:sz w:val="24"/>
                <w:szCs w:val="24"/>
              </w:rPr>
              <w:t xml:space="preserve"> </w:t>
            </w:r>
            <w:r w:rsidRPr="00315F88">
              <w:rPr>
                <w:rFonts w:cstheme="minorHAnsi"/>
                <w:sz w:val="24"/>
                <w:szCs w:val="24"/>
              </w:rPr>
              <w:t xml:space="preserve">behalf. </w:t>
            </w:r>
          </w:p>
          <w:p w14:paraId="0F217389" w14:textId="6455BDF6" w:rsidR="00583F03" w:rsidRPr="00315F88" w:rsidRDefault="00F526EA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315F88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315F88">
              <w:rPr>
                <w:rFonts w:cstheme="minorHAnsi"/>
                <w:sz w:val="24"/>
                <w:szCs w:val="24"/>
              </w:rPr>
              <w:t>Trustee</w:t>
            </w:r>
            <w:r w:rsidRPr="00315F88">
              <w:rPr>
                <w:rFonts w:cstheme="minorHAnsi"/>
                <w:sz w:val="24"/>
                <w:szCs w:val="24"/>
              </w:rPr>
              <w:t xml:space="preserve">, via </w:t>
            </w:r>
            <w:r w:rsidR="002E5699">
              <w:rPr>
                <w:rFonts w:cstheme="minorHAnsi"/>
                <w:sz w:val="24"/>
                <w:szCs w:val="24"/>
              </w:rPr>
              <w:t>its</w:t>
            </w:r>
            <w:r w:rsidR="002E5699" w:rsidRPr="00315F88">
              <w:rPr>
                <w:rFonts w:cstheme="minorHAnsi"/>
                <w:sz w:val="24"/>
                <w:szCs w:val="24"/>
              </w:rPr>
              <w:t xml:space="preserve"> </w:t>
            </w:r>
            <w:r w:rsidRPr="00315F88">
              <w:rPr>
                <w:rFonts w:cstheme="minorHAnsi"/>
                <w:sz w:val="24"/>
                <w:szCs w:val="24"/>
              </w:rPr>
              <w:t xml:space="preserve">investment advisers, will engage with managers about ‘relevant matters’ (including the </w:t>
            </w:r>
            <w:r w:rsidR="007A0FA0" w:rsidRPr="00315F88">
              <w:rPr>
                <w:rFonts w:cstheme="minorHAnsi"/>
                <w:sz w:val="24"/>
                <w:szCs w:val="24"/>
              </w:rPr>
              <w:t>Fund</w:t>
            </w:r>
            <w:r w:rsidRPr="00315F88">
              <w:rPr>
                <w:rFonts w:cstheme="minorHAnsi"/>
                <w:sz w:val="24"/>
                <w:szCs w:val="24"/>
              </w:rPr>
              <w:t>’s stewardship priorities) at least annually.</w:t>
            </w:r>
          </w:p>
          <w:p w14:paraId="37810769" w14:textId="7872B185" w:rsidR="00F526EA" w:rsidRPr="00315F88" w:rsidRDefault="00F526EA" w:rsidP="00C228EC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315F88">
              <w:rPr>
                <w:rFonts w:cstheme="minorHAnsi"/>
                <w:sz w:val="24"/>
                <w:szCs w:val="24"/>
              </w:rPr>
              <w:t xml:space="preserve">Example stewardship activities that the </w:t>
            </w:r>
            <w:r w:rsidR="007A0FA0" w:rsidRPr="00315F88">
              <w:rPr>
                <w:rFonts w:cstheme="minorHAnsi"/>
                <w:sz w:val="24"/>
                <w:szCs w:val="24"/>
              </w:rPr>
              <w:t>Trustee</w:t>
            </w:r>
            <w:r w:rsidRPr="00315F88">
              <w:rPr>
                <w:rFonts w:cstheme="minorHAnsi"/>
                <w:sz w:val="24"/>
                <w:szCs w:val="24"/>
              </w:rPr>
              <w:t xml:space="preserve"> </w:t>
            </w:r>
            <w:r w:rsidR="002E5699" w:rsidRPr="00315F88">
              <w:rPr>
                <w:rFonts w:cstheme="minorHAnsi"/>
                <w:sz w:val="24"/>
                <w:szCs w:val="24"/>
              </w:rPr>
              <w:t>ha</w:t>
            </w:r>
            <w:r w:rsidR="002E5699">
              <w:rPr>
                <w:rFonts w:cstheme="minorHAnsi"/>
                <w:sz w:val="24"/>
                <w:szCs w:val="24"/>
              </w:rPr>
              <w:t xml:space="preserve">s </w:t>
            </w:r>
            <w:r w:rsidRPr="00315F88">
              <w:rPr>
                <w:rFonts w:cstheme="minorHAnsi"/>
                <w:sz w:val="24"/>
                <w:szCs w:val="24"/>
              </w:rPr>
              <w:t>considered are listed below</w:t>
            </w:r>
            <w:r w:rsidR="002E5699">
              <w:rPr>
                <w:rFonts w:cstheme="minorHAnsi"/>
                <w:sz w:val="24"/>
                <w:szCs w:val="24"/>
              </w:rPr>
              <w:t>:</w:t>
            </w:r>
            <w:r w:rsidRPr="00315F8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B5DA78" w14:textId="286E6234" w:rsidR="00F526EA" w:rsidRPr="00315F88" w:rsidRDefault="00F526EA" w:rsidP="00F526EA">
            <w:pPr>
              <w:numPr>
                <w:ilvl w:val="1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315F88">
              <w:rPr>
                <w:rFonts w:cstheme="minorHAnsi"/>
                <w:sz w:val="24"/>
                <w:szCs w:val="24"/>
              </w:rPr>
              <w:t xml:space="preserve">Selecting and appointing asset managers – the </w:t>
            </w:r>
            <w:r w:rsidR="007A0FA0" w:rsidRPr="00315F88">
              <w:rPr>
                <w:rFonts w:cstheme="minorHAnsi"/>
                <w:sz w:val="24"/>
                <w:szCs w:val="24"/>
              </w:rPr>
              <w:t>Trustee</w:t>
            </w:r>
            <w:r w:rsidRPr="00315F88">
              <w:rPr>
                <w:rFonts w:cstheme="minorHAnsi"/>
                <w:sz w:val="24"/>
                <w:szCs w:val="24"/>
              </w:rPr>
              <w:t xml:space="preserve"> will consider potential managers’ stewardship policies and activities</w:t>
            </w:r>
            <w:r w:rsidR="002E5699">
              <w:rPr>
                <w:rFonts w:cstheme="minorHAnsi"/>
                <w:sz w:val="24"/>
                <w:szCs w:val="24"/>
              </w:rPr>
              <w:t>.</w:t>
            </w:r>
          </w:p>
          <w:p w14:paraId="424BEA53" w14:textId="26E0322B" w:rsidR="00F526EA" w:rsidRPr="00315F88" w:rsidRDefault="00F10518" w:rsidP="00F526EA">
            <w:pPr>
              <w:numPr>
                <w:ilvl w:val="1"/>
                <w:numId w:val="9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315F88">
              <w:rPr>
                <w:rFonts w:cstheme="minorHAnsi"/>
                <w:sz w:val="24"/>
                <w:szCs w:val="24"/>
              </w:rPr>
              <w:t>Asset manager engagement and monitoring –</w:t>
            </w:r>
            <w:r w:rsidR="005E69C5">
              <w:rPr>
                <w:rFonts w:cstheme="minorHAnsi"/>
                <w:sz w:val="24"/>
                <w:szCs w:val="24"/>
              </w:rPr>
              <w:t xml:space="preserve"> </w:t>
            </w:r>
            <w:r w:rsidRPr="00315F88">
              <w:rPr>
                <w:rFonts w:cstheme="minorHAnsi"/>
                <w:sz w:val="24"/>
                <w:szCs w:val="24"/>
              </w:rPr>
              <w:t xml:space="preserve">the </w:t>
            </w:r>
            <w:r w:rsidR="007A0FA0" w:rsidRPr="00315F88">
              <w:rPr>
                <w:rFonts w:cstheme="minorHAnsi"/>
                <w:sz w:val="24"/>
                <w:szCs w:val="24"/>
              </w:rPr>
              <w:t>Trustee</w:t>
            </w:r>
            <w:r w:rsidRPr="00315F88">
              <w:rPr>
                <w:rFonts w:cstheme="minorHAnsi"/>
                <w:sz w:val="24"/>
                <w:szCs w:val="24"/>
              </w:rPr>
              <w:t xml:space="preserve"> assess</w:t>
            </w:r>
            <w:r w:rsidR="007D568C">
              <w:rPr>
                <w:rFonts w:cstheme="minorHAnsi"/>
                <w:sz w:val="24"/>
                <w:szCs w:val="24"/>
              </w:rPr>
              <w:t>es</w:t>
            </w:r>
            <w:r w:rsidRPr="00315F88">
              <w:rPr>
                <w:rFonts w:cstheme="minorHAnsi"/>
                <w:sz w:val="24"/>
                <w:szCs w:val="24"/>
              </w:rPr>
              <w:t xml:space="preserve"> the engagement activity of </w:t>
            </w:r>
            <w:r w:rsidR="002E5699">
              <w:rPr>
                <w:rFonts w:cstheme="minorHAnsi"/>
                <w:sz w:val="24"/>
                <w:szCs w:val="24"/>
              </w:rPr>
              <w:t>its</w:t>
            </w:r>
            <w:r w:rsidR="002E5699" w:rsidRPr="00315F88">
              <w:rPr>
                <w:rFonts w:cstheme="minorHAnsi"/>
                <w:sz w:val="24"/>
                <w:szCs w:val="24"/>
              </w:rPr>
              <w:t xml:space="preserve"> </w:t>
            </w:r>
            <w:r w:rsidRPr="00315F88">
              <w:rPr>
                <w:rFonts w:cstheme="minorHAnsi"/>
                <w:sz w:val="24"/>
                <w:szCs w:val="24"/>
              </w:rPr>
              <w:t>asset managers</w:t>
            </w:r>
            <w:r w:rsidR="00A84B07">
              <w:rPr>
                <w:rFonts w:cstheme="minorHAnsi"/>
                <w:sz w:val="24"/>
                <w:szCs w:val="24"/>
              </w:rPr>
              <w:t xml:space="preserve"> via </w:t>
            </w:r>
            <w:r w:rsidR="002E5699">
              <w:rPr>
                <w:rFonts w:cstheme="minorHAnsi"/>
                <w:sz w:val="24"/>
                <w:szCs w:val="24"/>
              </w:rPr>
              <w:t xml:space="preserve">its </w:t>
            </w:r>
            <w:r w:rsidR="00A84B07">
              <w:rPr>
                <w:rFonts w:cstheme="minorHAnsi"/>
                <w:sz w:val="24"/>
                <w:szCs w:val="24"/>
              </w:rPr>
              <w:t>investment consultant</w:t>
            </w:r>
            <w:r w:rsidRPr="00315F88">
              <w:rPr>
                <w:rFonts w:cstheme="minorHAnsi"/>
                <w:sz w:val="24"/>
                <w:szCs w:val="24"/>
              </w:rPr>
              <w:t xml:space="preserve">. The results of this analysis feeds into the </w:t>
            </w:r>
            <w:r w:rsidR="007A0FA0" w:rsidRPr="00315F88">
              <w:rPr>
                <w:rFonts w:cstheme="minorHAnsi"/>
                <w:sz w:val="24"/>
                <w:szCs w:val="24"/>
              </w:rPr>
              <w:t>Trustee</w:t>
            </w:r>
            <w:r w:rsidRPr="00315F88">
              <w:rPr>
                <w:rFonts w:cstheme="minorHAnsi"/>
                <w:sz w:val="24"/>
                <w:szCs w:val="24"/>
              </w:rPr>
              <w:t>’</w:t>
            </w:r>
            <w:r w:rsidR="002E5699">
              <w:rPr>
                <w:rFonts w:cstheme="minorHAnsi"/>
                <w:sz w:val="24"/>
                <w:szCs w:val="24"/>
              </w:rPr>
              <w:t>s</w:t>
            </w:r>
            <w:r w:rsidRPr="00315F88">
              <w:rPr>
                <w:rFonts w:cstheme="minorHAnsi"/>
                <w:sz w:val="24"/>
                <w:szCs w:val="24"/>
              </w:rPr>
              <w:t xml:space="preserve"> investment decision making</w:t>
            </w:r>
            <w:r w:rsidR="002E5699">
              <w:rPr>
                <w:rFonts w:cstheme="minorHAnsi"/>
                <w:sz w:val="24"/>
                <w:szCs w:val="24"/>
              </w:rPr>
              <w:t>.</w:t>
            </w:r>
          </w:p>
          <w:p w14:paraId="5CEBEC30" w14:textId="0329F9EC" w:rsidR="00F10518" w:rsidRPr="00315F88" w:rsidRDefault="00F10518" w:rsidP="000F6909">
            <w:pPr>
              <w:ind w:left="108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727E259E" w14:textId="608FAD4A" w:rsidR="002976B0" w:rsidRPr="008C500A" w:rsidRDefault="002976B0" w:rsidP="00C228EC">
      <w:pPr>
        <w:rPr>
          <w:rFonts w:cstheme="minorHAnsi"/>
        </w:rPr>
      </w:pPr>
    </w:p>
    <w:p w14:paraId="60E2CB01" w14:textId="36A66DB1" w:rsidR="005818F9" w:rsidRPr="008C500A" w:rsidRDefault="005818F9" w:rsidP="004B20F3">
      <w:pPr>
        <w:rPr>
          <w:rFonts w:cstheme="minorHAnsi"/>
          <w:bCs/>
          <w:sz w:val="24"/>
          <w:szCs w:val="24"/>
        </w:rPr>
      </w:pPr>
    </w:p>
    <w:p w14:paraId="0B3002F3" w14:textId="7C65914C" w:rsidR="00003976" w:rsidRDefault="00003976">
      <w:pPr>
        <w:rPr>
          <w:rFonts w:cstheme="minorHAnsi"/>
          <w:b/>
          <w:sz w:val="24"/>
          <w:szCs w:val="24"/>
          <w:u w:val="single"/>
        </w:rPr>
      </w:pPr>
    </w:p>
    <w:p w14:paraId="4B9A1628" w14:textId="2971EF7F" w:rsidR="00003976" w:rsidRPr="00003976" w:rsidRDefault="00003976" w:rsidP="00BA57C3">
      <w:pPr>
        <w:spacing w:after="0" w:line="240" w:lineRule="auto"/>
        <w:rPr>
          <w:rFonts w:cstheme="minorHAnsi"/>
          <w:bCs/>
          <w:sz w:val="24"/>
          <w:szCs w:val="24"/>
        </w:rPr>
      </w:pPr>
    </w:p>
    <w:sectPr w:rsidR="00003976" w:rsidRPr="000039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67BB" w14:textId="77777777" w:rsidR="00175CDE" w:rsidRDefault="00175CDE" w:rsidP="005820D4">
      <w:pPr>
        <w:spacing w:after="0" w:line="240" w:lineRule="auto"/>
      </w:pPr>
      <w:r>
        <w:separator/>
      </w:r>
    </w:p>
  </w:endnote>
  <w:endnote w:type="continuationSeparator" w:id="0">
    <w:p w14:paraId="1F74CE97" w14:textId="77777777" w:rsidR="00175CDE" w:rsidRDefault="00175CDE" w:rsidP="005820D4">
      <w:pPr>
        <w:spacing w:after="0" w:line="240" w:lineRule="auto"/>
      </w:pPr>
      <w:r>
        <w:continuationSeparator/>
      </w:r>
    </w:p>
  </w:endnote>
  <w:endnote w:type="continuationNotice" w:id="1">
    <w:p w14:paraId="57C81E51" w14:textId="77777777" w:rsidR="00175CDE" w:rsidRDefault="00175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08BA" w14:textId="77777777" w:rsidR="000F6909" w:rsidRDefault="000F6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43C6" w14:textId="77777777" w:rsidR="000F6909" w:rsidRDefault="000F6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EE24" w14:textId="77777777" w:rsidR="000F6909" w:rsidRDefault="000F6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7A0B" w14:textId="77777777" w:rsidR="00175CDE" w:rsidRDefault="00175CDE" w:rsidP="005820D4">
      <w:pPr>
        <w:spacing w:after="0" w:line="240" w:lineRule="auto"/>
      </w:pPr>
      <w:r>
        <w:separator/>
      </w:r>
    </w:p>
  </w:footnote>
  <w:footnote w:type="continuationSeparator" w:id="0">
    <w:p w14:paraId="1ADBF9F8" w14:textId="77777777" w:rsidR="00175CDE" w:rsidRDefault="00175CDE" w:rsidP="005820D4">
      <w:pPr>
        <w:spacing w:after="0" w:line="240" w:lineRule="auto"/>
      </w:pPr>
      <w:r>
        <w:continuationSeparator/>
      </w:r>
    </w:p>
  </w:footnote>
  <w:footnote w:type="continuationNotice" w:id="1">
    <w:p w14:paraId="2BFD6A25" w14:textId="77777777" w:rsidR="00175CDE" w:rsidRDefault="00175CDE">
      <w:pPr>
        <w:spacing w:after="0" w:line="240" w:lineRule="auto"/>
      </w:pPr>
    </w:p>
  </w:footnote>
  <w:footnote w:id="2">
    <w:p w14:paraId="006F12DB" w14:textId="77777777" w:rsidR="002E0659" w:rsidRPr="002E0659" w:rsidRDefault="002E0659" w:rsidP="002E0659">
      <w:pPr>
        <w:jc w:val="both"/>
        <w:rPr>
          <w:rFonts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2E0659">
        <w:rPr>
          <w:rFonts w:cstheme="minorHAnsi"/>
          <w:sz w:val="24"/>
          <w:szCs w:val="24"/>
        </w:rPr>
        <w:t xml:space="preserve">Expected return assumptions quoted relative to Gilts and based on Isio’s central assumptions as at 30 June 2023.  </w:t>
      </w:r>
    </w:p>
    <w:p w14:paraId="419F7E44" w14:textId="40331E3F" w:rsidR="002E0659" w:rsidRDefault="002E06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D422" w14:textId="77777777" w:rsidR="000F6909" w:rsidRDefault="000F6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27D" w14:textId="24DBDAED" w:rsidR="000F6909" w:rsidRDefault="000F6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F384" w14:textId="77777777" w:rsidR="000F6909" w:rsidRDefault="000F6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FD8"/>
    <w:multiLevelType w:val="hybridMultilevel"/>
    <w:tmpl w:val="CF50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0866"/>
    <w:multiLevelType w:val="hybridMultilevel"/>
    <w:tmpl w:val="AEA4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00B"/>
    <w:multiLevelType w:val="hybridMultilevel"/>
    <w:tmpl w:val="E4448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7231"/>
    <w:multiLevelType w:val="hybridMultilevel"/>
    <w:tmpl w:val="3B28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63C4"/>
    <w:multiLevelType w:val="multilevel"/>
    <w:tmpl w:val="F78EB5AE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360"/>
        </w:tabs>
        <w:ind w:left="360" w:hanging="360"/>
      </w:pPr>
      <w:rPr>
        <w:vertAlign w:val="superscript"/>
      </w:rPr>
    </w:lvl>
    <w:lvl w:ilvl="6">
      <w:start w:val="1"/>
      <w:numFmt w:val="upperLetter"/>
      <w:lvlText w:val="%7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8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Letter"/>
      <w:lvlText w:val="%9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209E11EE"/>
    <w:multiLevelType w:val="hybridMultilevel"/>
    <w:tmpl w:val="3864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20C93"/>
    <w:multiLevelType w:val="hybridMultilevel"/>
    <w:tmpl w:val="90EA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97F13"/>
    <w:multiLevelType w:val="hybridMultilevel"/>
    <w:tmpl w:val="3E965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229A"/>
    <w:multiLevelType w:val="hybridMultilevel"/>
    <w:tmpl w:val="41D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3EB9"/>
    <w:multiLevelType w:val="hybridMultilevel"/>
    <w:tmpl w:val="EB1E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21A1"/>
    <w:multiLevelType w:val="hybridMultilevel"/>
    <w:tmpl w:val="B672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009C6"/>
    <w:multiLevelType w:val="hybridMultilevel"/>
    <w:tmpl w:val="8C70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460F8"/>
    <w:multiLevelType w:val="multilevel"/>
    <w:tmpl w:val="FF9C881A"/>
    <w:lvl w:ilvl="0">
      <w:start w:val="1"/>
      <w:numFmt w:val="decimal"/>
      <w:pStyle w:val="OutlineNum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OutlineNum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OutlineNum3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EF772B9"/>
    <w:multiLevelType w:val="hybridMultilevel"/>
    <w:tmpl w:val="7212A40E"/>
    <w:lvl w:ilvl="0" w:tplc="23303B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D6BC4"/>
    <w:multiLevelType w:val="hybridMultilevel"/>
    <w:tmpl w:val="F73E9A4C"/>
    <w:lvl w:ilvl="0" w:tplc="961E90F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37DE5"/>
    <w:multiLevelType w:val="hybridMultilevel"/>
    <w:tmpl w:val="1A68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86AE9"/>
    <w:multiLevelType w:val="hybridMultilevel"/>
    <w:tmpl w:val="86CA8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857B4"/>
    <w:multiLevelType w:val="hybridMultilevel"/>
    <w:tmpl w:val="F73E9A4C"/>
    <w:lvl w:ilvl="0" w:tplc="961E90F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46E9D"/>
    <w:multiLevelType w:val="hybridMultilevel"/>
    <w:tmpl w:val="8AE87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70647">
    <w:abstractNumId w:val="13"/>
  </w:num>
  <w:num w:numId="2" w16cid:durableId="997462415">
    <w:abstractNumId w:val="2"/>
  </w:num>
  <w:num w:numId="3" w16cid:durableId="2133356506">
    <w:abstractNumId w:val="14"/>
  </w:num>
  <w:num w:numId="4" w16cid:durableId="364328794">
    <w:abstractNumId w:val="16"/>
  </w:num>
  <w:num w:numId="5" w16cid:durableId="1465155160">
    <w:abstractNumId w:val="11"/>
  </w:num>
  <w:num w:numId="6" w16cid:durableId="1187408225">
    <w:abstractNumId w:val="3"/>
  </w:num>
  <w:num w:numId="7" w16cid:durableId="2072580758">
    <w:abstractNumId w:val="6"/>
  </w:num>
  <w:num w:numId="8" w16cid:durableId="139929241">
    <w:abstractNumId w:val="8"/>
  </w:num>
  <w:num w:numId="9" w16cid:durableId="1664091089">
    <w:abstractNumId w:val="15"/>
  </w:num>
  <w:num w:numId="10" w16cid:durableId="378863734">
    <w:abstractNumId w:val="5"/>
  </w:num>
  <w:num w:numId="11" w16cid:durableId="1060403817">
    <w:abstractNumId w:val="9"/>
  </w:num>
  <w:num w:numId="12" w16cid:durableId="1715078772">
    <w:abstractNumId w:val="17"/>
  </w:num>
  <w:num w:numId="13" w16cid:durableId="669408187">
    <w:abstractNumId w:val="10"/>
  </w:num>
  <w:num w:numId="14" w16cid:durableId="2048020607">
    <w:abstractNumId w:val="1"/>
  </w:num>
  <w:num w:numId="15" w16cid:durableId="78792135">
    <w:abstractNumId w:val="18"/>
  </w:num>
  <w:num w:numId="16" w16cid:durableId="2116288769">
    <w:abstractNumId w:val="7"/>
  </w:num>
  <w:num w:numId="17" w16cid:durableId="1727215816">
    <w:abstractNumId w:val="0"/>
  </w:num>
  <w:num w:numId="18" w16cid:durableId="1646467187">
    <w:abstractNumId w:val="4"/>
  </w:num>
  <w:num w:numId="19" w16cid:durableId="653722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C"/>
    <w:rsid w:val="00003976"/>
    <w:rsid w:val="0000593B"/>
    <w:rsid w:val="00025700"/>
    <w:rsid w:val="00036D8C"/>
    <w:rsid w:val="00044C70"/>
    <w:rsid w:val="00047A43"/>
    <w:rsid w:val="00050657"/>
    <w:rsid w:val="0008006F"/>
    <w:rsid w:val="00095361"/>
    <w:rsid w:val="000A3977"/>
    <w:rsid w:val="000A5635"/>
    <w:rsid w:val="000B0193"/>
    <w:rsid w:val="000C0B79"/>
    <w:rsid w:val="000C5837"/>
    <w:rsid w:val="000D5651"/>
    <w:rsid w:val="000E424D"/>
    <w:rsid w:val="000E474B"/>
    <w:rsid w:val="000F4998"/>
    <w:rsid w:val="000F6909"/>
    <w:rsid w:val="0011220B"/>
    <w:rsid w:val="0011502E"/>
    <w:rsid w:val="00124C7E"/>
    <w:rsid w:val="00134C37"/>
    <w:rsid w:val="00135585"/>
    <w:rsid w:val="00140439"/>
    <w:rsid w:val="00140EE5"/>
    <w:rsid w:val="00157456"/>
    <w:rsid w:val="00161A5F"/>
    <w:rsid w:val="00175CDE"/>
    <w:rsid w:val="00182B33"/>
    <w:rsid w:val="00183391"/>
    <w:rsid w:val="0018376A"/>
    <w:rsid w:val="00196003"/>
    <w:rsid w:val="001B1CBE"/>
    <w:rsid w:val="001B2572"/>
    <w:rsid w:val="001B70DB"/>
    <w:rsid w:val="001C7942"/>
    <w:rsid w:val="001D0709"/>
    <w:rsid w:val="001D5729"/>
    <w:rsid w:val="001D5855"/>
    <w:rsid w:val="001E1366"/>
    <w:rsid w:val="001E2D2A"/>
    <w:rsid w:val="001E4560"/>
    <w:rsid w:val="001E60A6"/>
    <w:rsid w:val="00200058"/>
    <w:rsid w:val="0020111E"/>
    <w:rsid w:val="00201A7E"/>
    <w:rsid w:val="00211FF4"/>
    <w:rsid w:val="00215E29"/>
    <w:rsid w:val="0022246E"/>
    <w:rsid w:val="0022307E"/>
    <w:rsid w:val="00236A70"/>
    <w:rsid w:val="002402ED"/>
    <w:rsid w:val="00241CBA"/>
    <w:rsid w:val="002605B2"/>
    <w:rsid w:val="00270486"/>
    <w:rsid w:val="0027060B"/>
    <w:rsid w:val="0027301E"/>
    <w:rsid w:val="00280F33"/>
    <w:rsid w:val="00281E09"/>
    <w:rsid w:val="002836A7"/>
    <w:rsid w:val="002976B0"/>
    <w:rsid w:val="002A1AE9"/>
    <w:rsid w:val="002A6981"/>
    <w:rsid w:val="002C0C29"/>
    <w:rsid w:val="002E0659"/>
    <w:rsid w:val="002E5336"/>
    <w:rsid w:val="002E5699"/>
    <w:rsid w:val="002F1CC0"/>
    <w:rsid w:val="002F6498"/>
    <w:rsid w:val="00303127"/>
    <w:rsid w:val="00303A54"/>
    <w:rsid w:val="00307ABA"/>
    <w:rsid w:val="00315F88"/>
    <w:rsid w:val="0031626E"/>
    <w:rsid w:val="0031627C"/>
    <w:rsid w:val="003178C6"/>
    <w:rsid w:val="00324642"/>
    <w:rsid w:val="0032559B"/>
    <w:rsid w:val="00332A6B"/>
    <w:rsid w:val="00343600"/>
    <w:rsid w:val="00356E00"/>
    <w:rsid w:val="0037008A"/>
    <w:rsid w:val="00372C65"/>
    <w:rsid w:val="00386685"/>
    <w:rsid w:val="00392E77"/>
    <w:rsid w:val="003956A7"/>
    <w:rsid w:val="003A026C"/>
    <w:rsid w:val="003B0B1F"/>
    <w:rsid w:val="003B529A"/>
    <w:rsid w:val="003C655C"/>
    <w:rsid w:val="003C7FF9"/>
    <w:rsid w:val="003D26CC"/>
    <w:rsid w:val="003D2B62"/>
    <w:rsid w:val="003E258C"/>
    <w:rsid w:val="003E5155"/>
    <w:rsid w:val="003E6CFB"/>
    <w:rsid w:val="003F4111"/>
    <w:rsid w:val="003F7FAC"/>
    <w:rsid w:val="0040500B"/>
    <w:rsid w:val="00406FE0"/>
    <w:rsid w:val="0041596A"/>
    <w:rsid w:val="004171FF"/>
    <w:rsid w:val="004223CF"/>
    <w:rsid w:val="00423CB5"/>
    <w:rsid w:val="0042743F"/>
    <w:rsid w:val="00465D62"/>
    <w:rsid w:val="00466F19"/>
    <w:rsid w:val="004679B7"/>
    <w:rsid w:val="00474366"/>
    <w:rsid w:val="00480237"/>
    <w:rsid w:val="0048599C"/>
    <w:rsid w:val="00492B48"/>
    <w:rsid w:val="00496A11"/>
    <w:rsid w:val="00496B0E"/>
    <w:rsid w:val="004A0006"/>
    <w:rsid w:val="004A123D"/>
    <w:rsid w:val="004A2AE9"/>
    <w:rsid w:val="004A7D10"/>
    <w:rsid w:val="004B137B"/>
    <w:rsid w:val="004B20F3"/>
    <w:rsid w:val="004B6EE4"/>
    <w:rsid w:val="004C6FBB"/>
    <w:rsid w:val="004F09DE"/>
    <w:rsid w:val="004F0E7B"/>
    <w:rsid w:val="004F1176"/>
    <w:rsid w:val="004F59B6"/>
    <w:rsid w:val="004F6D1D"/>
    <w:rsid w:val="00500DB6"/>
    <w:rsid w:val="00501DEC"/>
    <w:rsid w:val="00505526"/>
    <w:rsid w:val="00507DE9"/>
    <w:rsid w:val="005148CE"/>
    <w:rsid w:val="005604CD"/>
    <w:rsid w:val="00564E7D"/>
    <w:rsid w:val="005662DA"/>
    <w:rsid w:val="00580446"/>
    <w:rsid w:val="005818F9"/>
    <w:rsid w:val="005820D4"/>
    <w:rsid w:val="00583F03"/>
    <w:rsid w:val="00592DAF"/>
    <w:rsid w:val="0059349A"/>
    <w:rsid w:val="0059483A"/>
    <w:rsid w:val="005A0E13"/>
    <w:rsid w:val="005A1D53"/>
    <w:rsid w:val="005A5A12"/>
    <w:rsid w:val="005A6E28"/>
    <w:rsid w:val="005B6D46"/>
    <w:rsid w:val="005C27F0"/>
    <w:rsid w:val="005C56D2"/>
    <w:rsid w:val="005D1BA2"/>
    <w:rsid w:val="005D44D8"/>
    <w:rsid w:val="005D5802"/>
    <w:rsid w:val="005E19CE"/>
    <w:rsid w:val="005E69C5"/>
    <w:rsid w:val="005F6728"/>
    <w:rsid w:val="006029F3"/>
    <w:rsid w:val="006041F9"/>
    <w:rsid w:val="00604FE1"/>
    <w:rsid w:val="00612CB1"/>
    <w:rsid w:val="0061578F"/>
    <w:rsid w:val="00621002"/>
    <w:rsid w:val="00631776"/>
    <w:rsid w:val="00633EEC"/>
    <w:rsid w:val="0063522F"/>
    <w:rsid w:val="00641FCD"/>
    <w:rsid w:val="00645D1C"/>
    <w:rsid w:val="00655124"/>
    <w:rsid w:val="00656F60"/>
    <w:rsid w:val="00666196"/>
    <w:rsid w:val="00671ACD"/>
    <w:rsid w:val="0067238D"/>
    <w:rsid w:val="00686940"/>
    <w:rsid w:val="00695C89"/>
    <w:rsid w:val="006C3D3B"/>
    <w:rsid w:val="006C5D1A"/>
    <w:rsid w:val="006C614D"/>
    <w:rsid w:val="006D1A8B"/>
    <w:rsid w:val="006E0E79"/>
    <w:rsid w:val="007050EC"/>
    <w:rsid w:val="00711636"/>
    <w:rsid w:val="0071208C"/>
    <w:rsid w:val="00723BE4"/>
    <w:rsid w:val="007254E0"/>
    <w:rsid w:val="00731A1F"/>
    <w:rsid w:val="00735E26"/>
    <w:rsid w:val="0074007D"/>
    <w:rsid w:val="0074515D"/>
    <w:rsid w:val="00747C16"/>
    <w:rsid w:val="0075123A"/>
    <w:rsid w:val="00752DF9"/>
    <w:rsid w:val="007645FC"/>
    <w:rsid w:val="00765572"/>
    <w:rsid w:val="00774537"/>
    <w:rsid w:val="00794CC0"/>
    <w:rsid w:val="007956B6"/>
    <w:rsid w:val="007A0FA0"/>
    <w:rsid w:val="007A473A"/>
    <w:rsid w:val="007B0EC6"/>
    <w:rsid w:val="007C6A71"/>
    <w:rsid w:val="007D1DB5"/>
    <w:rsid w:val="007D568C"/>
    <w:rsid w:val="007F3B92"/>
    <w:rsid w:val="008044F7"/>
    <w:rsid w:val="00805F19"/>
    <w:rsid w:val="00806691"/>
    <w:rsid w:val="00807E24"/>
    <w:rsid w:val="00810A03"/>
    <w:rsid w:val="008128EA"/>
    <w:rsid w:val="00826DFF"/>
    <w:rsid w:val="0082762F"/>
    <w:rsid w:val="00827ECE"/>
    <w:rsid w:val="00851B50"/>
    <w:rsid w:val="00854748"/>
    <w:rsid w:val="008602F5"/>
    <w:rsid w:val="00865AD5"/>
    <w:rsid w:val="0086613C"/>
    <w:rsid w:val="00874D3B"/>
    <w:rsid w:val="00875BC6"/>
    <w:rsid w:val="00887C3C"/>
    <w:rsid w:val="00890D92"/>
    <w:rsid w:val="00892ED9"/>
    <w:rsid w:val="008A3B33"/>
    <w:rsid w:val="008A57C5"/>
    <w:rsid w:val="008A7F33"/>
    <w:rsid w:val="008B1614"/>
    <w:rsid w:val="008B344E"/>
    <w:rsid w:val="008B4C03"/>
    <w:rsid w:val="008C30D0"/>
    <w:rsid w:val="008C500A"/>
    <w:rsid w:val="008D0140"/>
    <w:rsid w:val="008D17CA"/>
    <w:rsid w:val="008D667B"/>
    <w:rsid w:val="008D66B8"/>
    <w:rsid w:val="008E1ADD"/>
    <w:rsid w:val="008E5383"/>
    <w:rsid w:val="00900EDD"/>
    <w:rsid w:val="00903FB0"/>
    <w:rsid w:val="009063E9"/>
    <w:rsid w:val="009107F9"/>
    <w:rsid w:val="00924627"/>
    <w:rsid w:val="00924A98"/>
    <w:rsid w:val="00941494"/>
    <w:rsid w:val="00951974"/>
    <w:rsid w:val="00951A5A"/>
    <w:rsid w:val="00952274"/>
    <w:rsid w:val="00954756"/>
    <w:rsid w:val="00957DA5"/>
    <w:rsid w:val="00965926"/>
    <w:rsid w:val="009762FD"/>
    <w:rsid w:val="00976991"/>
    <w:rsid w:val="009837BD"/>
    <w:rsid w:val="00996AEC"/>
    <w:rsid w:val="009A02B0"/>
    <w:rsid w:val="009A2172"/>
    <w:rsid w:val="009A2C39"/>
    <w:rsid w:val="009A4D79"/>
    <w:rsid w:val="009B3164"/>
    <w:rsid w:val="009B62DF"/>
    <w:rsid w:val="009C190E"/>
    <w:rsid w:val="009C5B39"/>
    <w:rsid w:val="009D1922"/>
    <w:rsid w:val="009D1BA0"/>
    <w:rsid w:val="009D42F4"/>
    <w:rsid w:val="009E177A"/>
    <w:rsid w:val="009E27B5"/>
    <w:rsid w:val="009F7F02"/>
    <w:rsid w:val="00A200D2"/>
    <w:rsid w:val="00A238F9"/>
    <w:rsid w:val="00A31F59"/>
    <w:rsid w:val="00A37463"/>
    <w:rsid w:val="00A37ADE"/>
    <w:rsid w:val="00A4514B"/>
    <w:rsid w:val="00A465B5"/>
    <w:rsid w:val="00A51BD2"/>
    <w:rsid w:val="00A60697"/>
    <w:rsid w:val="00A6617F"/>
    <w:rsid w:val="00A76B15"/>
    <w:rsid w:val="00A82894"/>
    <w:rsid w:val="00A84B07"/>
    <w:rsid w:val="00A854E1"/>
    <w:rsid w:val="00A971CA"/>
    <w:rsid w:val="00A97992"/>
    <w:rsid w:val="00AA5E90"/>
    <w:rsid w:val="00AC19CC"/>
    <w:rsid w:val="00AD34FB"/>
    <w:rsid w:val="00AF13B1"/>
    <w:rsid w:val="00AF5F4D"/>
    <w:rsid w:val="00B03093"/>
    <w:rsid w:val="00B03FEE"/>
    <w:rsid w:val="00B04FB0"/>
    <w:rsid w:val="00B16B16"/>
    <w:rsid w:val="00B225F3"/>
    <w:rsid w:val="00B23659"/>
    <w:rsid w:val="00B25629"/>
    <w:rsid w:val="00B31FA5"/>
    <w:rsid w:val="00B41F53"/>
    <w:rsid w:val="00B438E6"/>
    <w:rsid w:val="00B525EF"/>
    <w:rsid w:val="00B53ABF"/>
    <w:rsid w:val="00B57982"/>
    <w:rsid w:val="00B60A46"/>
    <w:rsid w:val="00B629F7"/>
    <w:rsid w:val="00B772CC"/>
    <w:rsid w:val="00BA49AE"/>
    <w:rsid w:val="00BA5710"/>
    <w:rsid w:val="00BA57C3"/>
    <w:rsid w:val="00BB1E0A"/>
    <w:rsid w:val="00BB2560"/>
    <w:rsid w:val="00BD7AC8"/>
    <w:rsid w:val="00BF3376"/>
    <w:rsid w:val="00BF7F56"/>
    <w:rsid w:val="00C0513C"/>
    <w:rsid w:val="00C228EC"/>
    <w:rsid w:val="00C30EF6"/>
    <w:rsid w:val="00C321EE"/>
    <w:rsid w:val="00C32A8E"/>
    <w:rsid w:val="00C4426B"/>
    <w:rsid w:val="00C53EE3"/>
    <w:rsid w:val="00C54AEC"/>
    <w:rsid w:val="00C5726F"/>
    <w:rsid w:val="00C72B68"/>
    <w:rsid w:val="00C817DC"/>
    <w:rsid w:val="00C92667"/>
    <w:rsid w:val="00CB3C6D"/>
    <w:rsid w:val="00CB5BEE"/>
    <w:rsid w:val="00CC5BCB"/>
    <w:rsid w:val="00CC7B25"/>
    <w:rsid w:val="00CE3512"/>
    <w:rsid w:val="00CF06EF"/>
    <w:rsid w:val="00CF795F"/>
    <w:rsid w:val="00D053FF"/>
    <w:rsid w:val="00D133BC"/>
    <w:rsid w:val="00D1385B"/>
    <w:rsid w:val="00D211B7"/>
    <w:rsid w:val="00D231DF"/>
    <w:rsid w:val="00D3308D"/>
    <w:rsid w:val="00D3388F"/>
    <w:rsid w:val="00D36412"/>
    <w:rsid w:val="00D403D2"/>
    <w:rsid w:val="00D46F00"/>
    <w:rsid w:val="00D54BB3"/>
    <w:rsid w:val="00D57A57"/>
    <w:rsid w:val="00D645AC"/>
    <w:rsid w:val="00D71F37"/>
    <w:rsid w:val="00D7251A"/>
    <w:rsid w:val="00D8384C"/>
    <w:rsid w:val="00D843E2"/>
    <w:rsid w:val="00D847CE"/>
    <w:rsid w:val="00D8570E"/>
    <w:rsid w:val="00D90C34"/>
    <w:rsid w:val="00D922C8"/>
    <w:rsid w:val="00D96F6C"/>
    <w:rsid w:val="00DA0198"/>
    <w:rsid w:val="00DA0862"/>
    <w:rsid w:val="00DA0DF6"/>
    <w:rsid w:val="00DB0487"/>
    <w:rsid w:val="00DC553B"/>
    <w:rsid w:val="00DC738E"/>
    <w:rsid w:val="00DD25D1"/>
    <w:rsid w:val="00DE35B5"/>
    <w:rsid w:val="00DE3B01"/>
    <w:rsid w:val="00DE50C7"/>
    <w:rsid w:val="00DE643E"/>
    <w:rsid w:val="00DF2F22"/>
    <w:rsid w:val="00DF74DE"/>
    <w:rsid w:val="00DF7C76"/>
    <w:rsid w:val="00E173D1"/>
    <w:rsid w:val="00E210B1"/>
    <w:rsid w:val="00E25839"/>
    <w:rsid w:val="00E3124F"/>
    <w:rsid w:val="00E360F7"/>
    <w:rsid w:val="00E516F6"/>
    <w:rsid w:val="00E52C61"/>
    <w:rsid w:val="00E726C8"/>
    <w:rsid w:val="00E8038D"/>
    <w:rsid w:val="00E83ED2"/>
    <w:rsid w:val="00E859EB"/>
    <w:rsid w:val="00E93661"/>
    <w:rsid w:val="00EA2D30"/>
    <w:rsid w:val="00EB21E9"/>
    <w:rsid w:val="00EB2738"/>
    <w:rsid w:val="00EF1C1D"/>
    <w:rsid w:val="00F024BA"/>
    <w:rsid w:val="00F10518"/>
    <w:rsid w:val="00F16024"/>
    <w:rsid w:val="00F1770A"/>
    <w:rsid w:val="00F339CF"/>
    <w:rsid w:val="00F4428D"/>
    <w:rsid w:val="00F526EA"/>
    <w:rsid w:val="00F5679C"/>
    <w:rsid w:val="00F5729B"/>
    <w:rsid w:val="00F75667"/>
    <w:rsid w:val="00F82107"/>
    <w:rsid w:val="00F925CD"/>
    <w:rsid w:val="00F977F6"/>
    <w:rsid w:val="00FA3F10"/>
    <w:rsid w:val="00FB2066"/>
    <w:rsid w:val="00FB4F1C"/>
    <w:rsid w:val="00FC20FD"/>
    <w:rsid w:val="00FC2487"/>
    <w:rsid w:val="00FC2872"/>
    <w:rsid w:val="00FD03D8"/>
    <w:rsid w:val="00FD265C"/>
    <w:rsid w:val="00FE1DF1"/>
    <w:rsid w:val="03741FA7"/>
    <w:rsid w:val="37EDD754"/>
    <w:rsid w:val="4072985F"/>
    <w:rsid w:val="4FE0AEBB"/>
    <w:rsid w:val="531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E24DD"/>
  <w15:chartTrackingRefBased/>
  <w15:docId w15:val="{FB87D9A3-1A39-409C-97DE-4505205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4627"/>
    <w:pPr>
      <w:keepNext/>
      <w:numPr>
        <w:numId w:val="18"/>
      </w:numPr>
      <w:spacing w:before="440" w:after="300" w:line="300" w:lineRule="exact"/>
      <w:outlineLvl w:val="0"/>
    </w:pPr>
    <w:rPr>
      <w:rFonts w:ascii="Arial Black" w:eastAsia="Times New Roman" w:hAnsi="Arial Black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24627"/>
    <w:pPr>
      <w:keepNext/>
      <w:numPr>
        <w:ilvl w:val="1"/>
        <w:numId w:val="18"/>
      </w:numPr>
      <w:spacing w:after="300" w:line="300" w:lineRule="exact"/>
      <w:outlineLvl w:val="1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24627"/>
    <w:pPr>
      <w:keepNext/>
      <w:numPr>
        <w:ilvl w:val="2"/>
        <w:numId w:val="18"/>
      </w:numPr>
      <w:spacing w:after="300" w:line="300" w:lineRule="exact"/>
      <w:outlineLvl w:val="2"/>
    </w:pPr>
    <w:rPr>
      <w:rFonts w:ascii="Arial Black" w:eastAsia="Times New Roman" w:hAnsi="Arial Black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2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8E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8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1A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123A"/>
    <w:pPr>
      <w:ind w:left="720"/>
      <w:contextualSpacing/>
    </w:pPr>
  </w:style>
  <w:style w:type="paragraph" w:styleId="Revision">
    <w:name w:val="Revision"/>
    <w:hidden/>
    <w:uiPriority w:val="99"/>
    <w:semiHidden/>
    <w:rsid w:val="00140E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61"/>
  </w:style>
  <w:style w:type="paragraph" w:styleId="Footer">
    <w:name w:val="footer"/>
    <w:basedOn w:val="Normal"/>
    <w:link w:val="FooterChar"/>
    <w:uiPriority w:val="99"/>
    <w:unhideWhenUsed/>
    <w:rsid w:val="00E93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61"/>
  </w:style>
  <w:style w:type="character" w:customStyle="1" w:styleId="Heading1Char">
    <w:name w:val="Heading 1 Char"/>
    <w:basedOn w:val="DefaultParagraphFont"/>
    <w:link w:val="Heading1"/>
    <w:rsid w:val="00924627"/>
    <w:rPr>
      <w:rFonts w:ascii="Arial Black" w:eastAsia="Times New Roman" w:hAnsi="Arial Black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24627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24627"/>
    <w:rPr>
      <w:rFonts w:ascii="Arial Black" w:eastAsia="Times New Roman" w:hAnsi="Arial Black" w:cs="Times New Roman"/>
      <w:sz w:val="20"/>
      <w:szCs w:val="20"/>
      <w:lang w:eastAsia="en-GB"/>
    </w:rPr>
  </w:style>
  <w:style w:type="paragraph" w:customStyle="1" w:styleId="OutlineNum2">
    <w:name w:val="Outline Num 2"/>
    <w:basedOn w:val="Normal"/>
    <w:rsid w:val="00924627"/>
    <w:pPr>
      <w:numPr>
        <w:ilvl w:val="1"/>
        <w:numId w:val="19"/>
      </w:numPr>
      <w:spacing w:after="300" w:line="300" w:lineRule="exact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OutlineNum3">
    <w:name w:val="Outline Num 3"/>
    <w:basedOn w:val="Normal"/>
    <w:rsid w:val="00924627"/>
    <w:pPr>
      <w:numPr>
        <w:ilvl w:val="2"/>
        <w:numId w:val="19"/>
      </w:numPr>
      <w:spacing w:after="300" w:line="300" w:lineRule="exact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OutlineNum">
    <w:name w:val="Outline Num"/>
    <w:basedOn w:val="OutlineNum2"/>
    <w:next w:val="OutlineNum2"/>
    <w:rsid w:val="00924627"/>
    <w:pPr>
      <w:numPr>
        <w:ilvl w:val="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06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6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 U K M A T T E R S ! 1 2 8 1 9 0 9 6 1 . 2 < / d o c u m e n t i d >  
     < s e n d e r i d > W A T S O N H A < / s e n d e r i d >  
     < s e n d e r e m a i l > H A N N A H . L . W A T S O N @ D L A P I P E R . C O M < / s e n d e r e m a i l >  
     < l a s t m o d i f i e d > 2 0 2 3 - 0 9 - 1 2 T 1 5 : 4 6 : 0 0 . 0 0 0 0 0 0 0 + 0 1 : 0 0 < / l a s t m o d i f i e d >  
     < d a t a b a s e > U K M A T T E R S 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cdfd9c-84af-49cb-aa66-9fb7475ba32e">
      <Terms xmlns="http://schemas.microsoft.com/office/infopath/2007/PartnerControls"/>
    </lcf76f155ced4ddcb4097134ff3c332f>
    <TaxCatchAll xmlns="8cce40ac-996e-4994-9c5a-47f0f8a605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B8E90F8C3C0418E0F6C2695F4626B" ma:contentTypeVersion="11" ma:contentTypeDescription="Create a new document." ma:contentTypeScope="" ma:versionID="f92fff86569a8c9abed4f4afc4d71af1">
  <xsd:schema xmlns:xsd="http://www.w3.org/2001/XMLSchema" xmlns:xs="http://www.w3.org/2001/XMLSchema" xmlns:p="http://schemas.microsoft.com/office/2006/metadata/properties" xmlns:ns2="f3cdfd9c-84af-49cb-aa66-9fb7475ba32e" xmlns:ns3="8cce40ac-996e-4994-9c5a-47f0f8a60532" targetNamespace="http://schemas.microsoft.com/office/2006/metadata/properties" ma:root="true" ma:fieldsID="f6249cf6e04a4833f1bfdf0f689421ab" ns2:_="" ns3:_="">
    <xsd:import namespace="f3cdfd9c-84af-49cb-aa66-9fb7475ba32e"/>
    <xsd:import namespace="8cce40ac-996e-4994-9c5a-47f0f8a60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dfd9c-84af-49cb-aa66-9fb7475ba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44d475-307a-44ca-be01-935d19178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e40ac-996e-4994-9c5a-47f0f8a605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ee44fd-04fd-44af-be7e-a7e4c267ec42}" ma:internalName="TaxCatchAll" ma:showField="CatchAllData" ma:web="8cce40ac-996e-4994-9c5a-47f0f8a60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C8FA-0C3F-4058-9883-466F8BF8C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0C00A-9E59-41D4-889A-05E5A67C15A1}">
  <ds:schemaRefs>
    <ds:schemaRef ds:uri="http://schemas.microsoft.com/office/2006/metadata/properties"/>
    <ds:schemaRef ds:uri="http://schemas.microsoft.com/office/infopath/2007/PartnerControls"/>
    <ds:schemaRef ds:uri="f3cdfd9c-84af-49cb-aa66-9fb7475ba32e"/>
    <ds:schemaRef ds:uri="8cce40ac-996e-4994-9c5a-47f0f8a60532"/>
  </ds:schemaRefs>
</ds:datastoreItem>
</file>

<file path=customXml/itemProps3.xml><?xml version="1.0" encoding="utf-8"?>
<ds:datastoreItem xmlns:ds="http://schemas.openxmlformats.org/officeDocument/2006/customXml" ds:itemID="{2FFE9577-A6CD-48A3-8912-F59B630AB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dfd9c-84af-49cb-aa66-9fb7475ba32e"/>
    <ds:schemaRef ds:uri="8cce40ac-996e-4994-9c5a-47f0f8a6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F721E-9599-4A8F-BFE0-8F4F596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2347</Words>
  <Characters>13313</Characters>
  <Application>Microsoft Office Word</Application>
  <DocSecurity>0</DocSecurity>
  <Lines>459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Bas, David</dc:creator>
  <cp:keywords/>
  <dc:description/>
  <cp:lastModifiedBy>Hannah Watson</cp:lastModifiedBy>
  <cp:revision>2</cp:revision>
  <dcterms:created xsi:type="dcterms:W3CDTF">2023-09-12T14:46:00Z</dcterms:created>
  <dcterms:modified xsi:type="dcterms:W3CDTF">2023-09-12T14:46:00Z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0x01010059FB8E90F8C3C0418E0F6C2695F4626B</vt:lpwstr>
  </property>
  <property fmtid="{D5CDD505-2E9C-101B-9397-08002B2CF9AE}" pid="3" name="Order">
    <vt:r8>10800</vt:r8>
  </property>
  <property fmtid="{D5CDD505-2E9C-101B-9397-08002B2CF9AE}" pid="4" name="MSIP_Label_df818868-c01c-44c9-ad71-c3bcd7450a7b_Enabled">
    <vt:lpwstr>true</vt:lpwstr>
  </property>
  <property fmtid="{D5CDD505-2E9C-101B-9397-08002B2CF9AE}" pid="5" name="MSIP_Label_df818868-c01c-44c9-ad71-c3bcd7450a7b_SetDate">
    <vt:lpwstr>2022-07-05T13:01:20Z</vt:lpwstr>
  </property>
  <property fmtid="{D5CDD505-2E9C-101B-9397-08002B2CF9AE}" pid="6" name="MSIP_Label_df818868-c01c-44c9-ad71-c3bcd7450a7b_Method">
    <vt:lpwstr>Standard</vt:lpwstr>
  </property>
  <property fmtid="{D5CDD505-2E9C-101B-9397-08002B2CF9AE}" pid="7" name="MSIP_Label_df818868-c01c-44c9-ad71-c3bcd7450a7b_Name">
    <vt:lpwstr>Confidential Anyone</vt:lpwstr>
  </property>
  <property fmtid="{D5CDD505-2E9C-101B-9397-08002B2CF9AE}" pid="8" name="MSIP_Label_df818868-c01c-44c9-ad71-c3bcd7450a7b_SiteId">
    <vt:lpwstr>ab764745-f919-47d0-8e21-f242e4ad7ebf</vt:lpwstr>
  </property>
  <property fmtid="{D5CDD505-2E9C-101B-9397-08002B2CF9AE}" pid="9" name="MSIP_Label_df818868-c01c-44c9-ad71-c3bcd7450a7b_ActionId">
    <vt:lpwstr>4af6f9a5-d9e2-4b4b-a797-b03a256708f6</vt:lpwstr>
  </property>
  <property fmtid="{D5CDD505-2E9C-101B-9397-08002B2CF9AE}" pid="10" name="MSIP_Label_df818868-c01c-44c9-ad71-c3bcd7450a7b_ContentBits">
    <vt:lpwstr>0</vt:lpwstr>
  </property>
  <property fmtid="{D5CDD505-2E9C-101B-9397-08002B2CF9AE}" pid="11" name="MediaServiceImageTags">
    <vt:lpwstr/>
  </property>
  <property fmtid="{D5CDD505-2E9C-101B-9397-08002B2CF9AE}" pid="12" name="Plato EditorId">
    <vt:lpwstr>d3b53947-1370-4993-bead-acc1dcf7d17a</vt:lpwstr>
  </property>
</Properties>
</file>