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1937B" w14:textId="153DAED2" w:rsidR="005604CD" w:rsidRPr="000F6909" w:rsidRDefault="005604CD" w:rsidP="00C228EC">
      <w:pPr>
        <w:jc w:val="both"/>
        <w:rPr>
          <w:b/>
          <w:bCs/>
          <w:sz w:val="28"/>
          <w:szCs w:val="28"/>
        </w:rPr>
      </w:pPr>
      <w:bookmarkStart w:id="0" w:name="_Hlk121223944"/>
      <w:r w:rsidRPr="000F6909">
        <w:rPr>
          <w:b/>
          <w:bCs/>
          <w:sz w:val="28"/>
          <w:szCs w:val="28"/>
        </w:rPr>
        <w:t>CFAO UK STAFF PENSION FUND</w:t>
      </w:r>
    </w:p>
    <w:p w14:paraId="727E24DE" w14:textId="5C3AE009" w:rsidR="00C228EC" w:rsidRPr="008C500A" w:rsidRDefault="00C228EC" w:rsidP="00C228EC">
      <w:pPr>
        <w:jc w:val="both"/>
        <w:rPr>
          <w:rFonts w:cstheme="minorHAnsi"/>
          <w:b/>
          <w:sz w:val="24"/>
          <w:szCs w:val="24"/>
          <w:u w:val="single"/>
        </w:rPr>
      </w:pPr>
      <w:r w:rsidRPr="008C500A">
        <w:rPr>
          <w:rFonts w:cstheme="minorHAnsi"/>
          <w:b/>
          <w:sz w:val="24"/>
          <w:szCs w:val="24"/>
          <w:u w:val="single"/>
        </w:rPr>
        <w:t>Statement of Investment Principles (“SIP”)</w:t>
      </w:r>
    </w:p>
    <w:p w14:paraId="727E24E0" w14:textId="77777777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bookmarkStart w:id="1" w:name="_Hlk121223952"/>
      <w:bookmarkEnd w:id="0"/>
      <w:r w:rsidRPr="008C500A">
        <w:rPr>
          <w:rFonts w:cstheme="minorHAnsi"/>
          <w:b/>
          <w:sz w:val="24"/>
          <w:szCs w:val="24"/>
        </w:rPr>
        <w:t>Purpose of this Statement</w:t>
      </w:r>
    </w:p>
    <w:p w14:paraId="727E24E1" w14:textId="04CDB329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954756">
        <w:rPr>
          <w:rFonts w:cstheme="minorHAnsi"/>
          <w:sz w:val="24"/>
          <w:szCs w:val="24"/>
        </w:rPr>
        <w:t xml:space="preserve">This SIP has been prepared by the </w:t>
      </w:r>
      <w:r w:rsidR="007A0FA0" w:rsidRPr="00954756">
        <w:rPr>
          <w:rFonts w:cstheme="minorHAnsi"/>
          <w:sz w:val="24"/>
          <w:szCs w:val="24"/>
        </w:rPr>
        <w:t>Trustee</w:t>
      </w:r>
      <w:r w:rsidRPr="00954756">
        <w:rPr>
          <w:rFonts w:cstheme="minorHAnsi"/>
          <w:sz w:val="24"/>
          <w:szCs w:val="24"/>
        </w:rPr>
        <w:t xml:space="preserve"> of the </w:t>
      </w:r>
      <w:r w:rsidR="00BA49AE" w:rsidRPr="00954756">
        <w:rPr>
          <w:rFonts w:cstheme="minorHAnsi"/>
          <w:sz w:val="24"/>
          <w:szCs w:val="24"/>
        </w:rPr>
        <w:t>CFAO UK Staff Pension</w:t>
      </w:r>
      <w:r w:rsidRPr="00954756">
        <w:rPr>
          <w:rFonts w:cstheme="minorHAnsi"/>
          <w:sz w:val="24"/>
          <w:szCs w:val="24"/>
        </w:rPr>
        <w:t xml:space="preserve"> </w:t>
      </w:r>
      <w:r w:rsidR="007A0FA0" w:rsidRPr="00954756">
        <w:rPr>
          <w:rFonts w:cstheme="minorHAnsi"/>
          <w:sz w:val="24"/>
          <w:szCs w:val="24"/>
        </w:rPr>
        <w:t>Fund</w:t>
      </w:r>
      <w:r w:rsidRPr="00954756">
        <w:rPr>
          <w:rFonts w:cstheme="minorHAnsi"/>
          <w:sz w:val="24"/>
          <w:szCs w:val="24"/>
        </w:rPr>
        <w:t xml:space="preserve"> (the “</w:t>
      </w:r>
      <w:r w:rsidR="007A0FA0" w:rsidRPr="00954756">
        <w:rPr>
          <w:rFonts w:cstheme="minorHAnsi"/>
          <w:sz w:val="24"/>
          <w:szCs w:val="24"/>
        </w:rPr>
        <w:t>Fund</w:t>
      </w:r>
      <w:r w:rsidRPr="00954756">
        <w:rPr>
          <w:rFonts w:cstheme="minorHAnsi"/>
          <w:sz w:val="24"/>
          <w:szCs w:val="24"/>
        </w:rPr>
        <w:t xml:space="preserve">”). This statement sets out the principles governing the </w:t>
      </w:r>
      <w:r w:rsidR="007A0FA0" w:rsidRPr="00954756">
        <w:rPr>
          <w:rFonts w:cstheme="minorHAnsi"/>
          <w:sz w:val="24"/>
          <w:szCs w:val="24"/>
        </w:rPr>
        <w:t>Trustee</w:t>
      </w:r>
      <w:r w:rsidRPr="00954756">
        <w:rPr>
          <w:rFonts w:cstheme="minorHAnsi"/>
          <w:sz w:val="24"/>
          <w:szCs w:val="24"/>
        </w:rPr>
        <w:t>’</w:t>
      </w:r>
      <w:r w:rsidR="00954756" w:rsidRPr="00954756">
        <w:rPr>
          <w:rFonts w:cstheme="minorHAnsi"/>
          <w:sz w:val="24"/>
          <w:szCs w:val="24"/>
        </w:rPr>
        <w:t>s</w:t>
      </w:r>
      <w:r w:rsidRPr="00954756">
        <w:rPr>
          <w:rFonts w:cstheme="minorHAnsi"/>
          <w:sz w:val="24"/>
          <w:szCs w:val="24"/>
        </w:rPr>
        <w:t xml:space="preserve"> decisions to invest the assets of the </w:t>
      </w:r>
      <w:r w:rsidR="007A0FA0" w:rsidRPr="00954756">
        <w:rPr>
          <w:rFonts w:cstheme="minorHAnsi"/>
          <w:sz w:val="24"/>
          <w:szCs w:val="24"/>
        </w:rPr>
        <w:t>Fund</w:t>
      </w:r>
      <w:r w:rsidRPr="00954756">
        <w:rPr>
          <w:rFonts w:cstheme="minorHAnsi"/>
          <w:sz w:val="24"/>
          <w:szCs w:val="24"/>
        </w:rPr>
        <w:t>.</w:t>
      </w:r>
      <w:r w:rsidRPr="008C500A">
        <w:rPr>
          <w:rFonts w:cstheme="minorHAnsi"/>
          <w:sz w:val="24"/>
          <w:szCs w:val="24"/>
        </w:rPr>
        <w:t xml:space="preserve"> </w:t>
      </w:r>
    </w:p>
    <w:p w14:paraId="56F10D19" w14:textId="64BDB74B" w:rsidR="002F16EA" w:rsidRDefault="00C228EC" w:rsidP="00C228EC">
      <w:pPr>
        <w:jc w:val="both"/>
        <w:rPr>
          <w:rFonts w:cstheme="minorHAnsi"/>
          <w:sz w:val="24"/>
          <w:szCs w:val="24"/>
        </w:rPr>
      </w:pPr>
      <w:r w:rsidRPr="00954756">
        <w:rPr>
          <w:rFonts w:cstheme="minorHAnsi"/>
          <w:sz w:val="24"/>
          <w:szCs w:val="24"/>
        </w:rPr>
        <w:t xml:space="preserve">The </w:t>
      </w:r>
      <w:r w:rsidR="007A0FA0" w:rsidRPr="00954756">
        <w:rPr>
          <w:rFonts w:cstheme="minorHAnsi"/>
          <w:sz w:val="24"/>
          <w:szCs w:val="24"/>
        </w:rPr>
        <w:t>Fund</w:t>
      </w:r>
      <w:r w:rsidRPr="00954756">
        <w:rPr>
          <w:rFonts w:cstheme="minorHAnsi"/>
          <w:sz w:val="24"/>
          <w:szCs w:val="24"/>
        </w:rPr>
        <w:t xml:space="preserve">’s investment strategy is derived from the </w:t>
      </w:r>
      <w:r w:rsidR="007A0FA0" w:rsidRPr="00954756">
        <w:rPr>
          <w:rFonts w:cstheme="minorHAnsi"/>
          <w:sz w:val="24"/>
          <w:szCs w:val="24"/>
        </w:rPr>
        <w:t>Trustee</w:t>
      </w:r>
      <w:r w:rsidRPr="00954756">
        <w:rPr>
          <w:rFonts w:cstheme="minorHAnsi"/>
          <w:sz w:val="24"/>
          <w:szCs w:val="24"/>
        </w:rPr>
        <w:t>’</w:t>
      </w:r>
      <w:r w:rsidR="00954756" w:rsidRPr="00954756">
        <w:rPr>
          <w:rFonts w:cstheme="minorHAnsi"/>
          <w:sz w:val="24"/>
          <w:szCs w:val="24"/>
        </w:rPr>
        <w:t>s</w:t>
      </w:r>
      <w:r w:rsidRPr="00954756">
        <w:rPr>
          <w:rFonts w:cstheme="minorHAnsi"/>
          <w:sz w:val="24"/>
          <w:szCs w:val="24"/>
        </w:rPr>
        <w:t xml:space="preserve"> investment objectives. The objectives have been </w:t>
      </w:r>
      <w:proofErr w:type="gramStart"/>
      <w:r w:rsidRPr="00954756">
        <w:rPr>
          <w:rFonts w:cstheme="minorHAnsi"/>
          <w:sz w:val="24"/>
          <w:szCs w:val="24"/>
        </w:rPr>
        <w:t>taken into account</w:t>
      </w:r>
      <w:proofErr w:type="gramEnd"/>
      <w:r w:rsidRPr="00954756">
        <w:rPr>
          <w:rFonts w:cstheme="minorHAnsi"/>
          <w:sz w:val="24"/>
          <w:szCs w:val="24"/>
        </w:rPr>
        <w:t xml:space="preserve"> at all stages of planning, implementation and monitoring of the investment strategy.</w:t>
      </w:r>
    </w:p>
    <w:p w14:paraId="4963A41B" w14:textId="2B51955C" w:rsidR="00B525EF" w:rsidRDefault="00C32A8E" w:rsidP="00C228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 pre</w:t>
      </w:r>
      <w:r w:rsidR="00332A6B">
        <w:rPr>
          <w:rFonts w:cstheme="minorHAnsi"/>
          <w:sz w:val="24"/>
          <w:szCs w:val="24"/>
        </w:rPr>
        <w:t xml:space="preserve">paring this Statement, the Trustee has consulted with the Company </w:t>
      </w:r>
      <w:r w:rsidR="00B16B16">
        <w:rPr>
          <w:rFonts w:cstheme="minorHAnsi"/>
          <w:sz w:val="24"/>
          <w:szCs w:val="24"/>
        </w:rPr>
        <w:t xml:space="preserve">and has taken professional advice from their Investment Consultant (Isio Group Limited/ Isio Services Limited </w:t>
      </w:r>
      <w:r w:rsidR="002E0659">
        <w:rPr>
          <w:rFonts w:cstheme="minorHAnsi"/>
          <w:sz w:val="24"/>
          <w:szCs w:val="24"/>
        </w:rPr>
        <w:t>(“Isio”</w:t>
      </w:r>
      <w:r w:rsidR="00641FCD">
        <w:rPr>
          <w:rFonts w:cstheme="minorHAnsi"/>
          <w:sz w:val="24"/>
          <w:szCs w:val="24"/>
        </w:rPr>
        <w:t>))</w:t>
      </w:r>
      <w:r w:rsidR="00507DE9">
        <w:rPr>
          <w:rFonts w:cstheme="minorHAnsi"/>
          <w:sz w:val="24"/>
          <w:szCs w:val="24"/>
        </w:rPr>
        <w:t>.</w:t>
      </w:r>
    </w:p>
    <w:p w14:paraId="2CC890C7" w14:textId="0AB4B296" w:rsidR="00BF7F56" w:rsidRPr="008C500A" w:rsidRDefault="00BF7F56" w:rsidP="00C228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Details of the Fund’s investment arrangements </w:t>
      </w:r>
      <w:r w:rsidR="005E19CE">
        <w:rPr>
          <w:rFonts w:cstheme="minorHAnsi"/>
          <w:sz w:val="24"/>
          <w:szCs w:val="24"/>
        </w:rPr>
        <w:t>are set out in Appendix A.</w:t>
      </w:r>
    </w:p>
    <w:bookmarkEnd w:id="1"/>
    <w:p w14:paraId="727E24E4" w14:textId="56A14A69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Governance</w:t>
      </w:r>
    </w:p>
    <w:p w14:paraId="727E24E5" w14:textId="5FADF1AA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036D8C">
        <w:rPr>
          <w:rFonts w:cstheme="minorHAnsi"/>
          <w:sz w:val="24"/>
          <w:szCs w:val="24"/>
        </w:rPr>
        <w:t xml:space="preserve">The </w:t>
      </w:r>
      <w:r w:rsidR="007A0FA0" w:rsidRPr="00036D8C">
        <w:rPr>
          <w:rFonts w:cstheme="minorHAnsi"/>
          <w:sz w:val="24"/>
          <w:szCs w:val="24"/>
        </w:rPr>
        <w:t>Trustee</w:t>
      </w:r>
      <w:r w:rsidRPr="00036D8C">
        <w:rPr>
          <w:rFonts w:cstheme="minorHAnsi"/>
          <w:sz w:val="24"/>
          <w:szCs w:val="24"/>
        </w:rPr>
        <w:t xml:space="preserve"> of the </w:t>
      </w:r>
      <w:r w:rsidR="007A0FA0" w:rsidRPr="00036D8C">
        <w:rPr>
          <w:rFonts w:cstheme="minorHAnsi"/>
          <w:sz w:val="24"/>
          <w:szCs w:val="24"/>
        </w:rPr>
        <w:t>Fund</w:t>
      </w:r>
      <w:r w:rsidRPr="00036D8C">
        <w:rPr>
          <w:rFonts w:cstheme="minorHAnsi"/>
          <w:sz w:val="24"/>
          <w:szCs w:val="24"/>
        </w:rPr>
        <w:t xml:space="preserve"> make</w:t>
      </w:r>
      <w:r w:rsidR="00036D8C" w:rsidRPr="00036D8C">
        <w:rPr>
          <w:rFonts w:cstheme="minorHAnsi"/>
          <w:sz w:val="24"/>
          <w:szCs w:val="24"/>
        </w:rPr>
        <w:t>s</w:t>
      </w:r>
      <w:r w:rsidRPr="00036D8C">
        <w:rPr>
          <w:rFonts w:cstheme="minorHAnsi"/>
          <w:sz w:val="24"/>
          <w:szCs w:val="24"/>
        </w:rPr>
        <w:t xml:space="preserve"> all major strategic decisions including, but not limited to, the </w:t>
      </w:r>
      <w:r w:rsidR="007A0FA0" w:rsidRPr="00036D8C">
        <w:rPr>
          <w:rFonts w:cstheme="minorHAnsi"/>
          <w:sz w:val="24"/>
          <w:szCs w:val="24"/>
        </w:rPr>
        <w:t>Fund</w:t>
      </w:r>
      <w:r w:rsidRPr="00036D8C">
        <w:rPr>
          <w:rFonts w:cstheme="minorHAnsi"/>
          <w:sz w:val="24"/>
          <w:szCs w:val="24"/>
        </w:rPr>
        <w:t>’s asset allocation and the appointment and termination of investment managers</w:t>
      </w:r>
      <w:r w:rsidRPr="008C500A">
        <w:rPr>
          <w:rFonts w:cstheme="minorHAnsi"/>
          <w:sz w:val="24"/>
          <w:szCs w:val="24"/>
        </w:rPr>
        <w:t>.</w:t>
      </w:r>
    </w:p>
    <w:p w14:paraId="727E24E6" w14:textId="5BA7EB99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036D8C">
        <w:rPr>
          <w:rFonts w:cstheme="minorHAnsi"/>
          <w:sz w:val="24"/>
          <w:szCs w:val="24"/>
        </w:rPr>
        <w:t xml:space="preserve">When making such decisions, and when appropriate, the </w:t>
      </w:r>
      <w:r w:rsidR="007A0FA0" w:rsidRPr="00036D8C">
        <w:rPr>
          <w:rFonts w:cstheme="minorHAnsi"/>
          <w:sz w:val="24"/>
          <w:szCs w:val="24"/>
        </w:rPr>
        <w:t>Trustee</w:t>
      </w:r>
      <w:r w:rsidRPr="00036D8C">
        <w:rPr>
          <w:rFonts w:cstheme="minorHAnsi"/>
          <w:sz w:val="24"/>
          <w:szCs w:val="24"/>
        </w:rPr>
        <w:t xml:space="preserve"> take</w:t>
      </w:r>
      <w:r w:rsidR="00036D8C" w:rsidRPr="00036D8C">
        <w:rPr>
          <w:rFonts w:cstheme="minorHAnsi"/>
          <w:sz w:val="24"/>
          <w:szCs w:val="24"/>
        </w:rPr>
        <w:t>s</w:t>
      </w:r>
      <w:r w:rsidRPr="00036D8C">
        <w:rPr>
          <w:rFonts w:cstheme="minorHAnsi"/>
          <w:sz w:val="24"/>
          <w:szCs w:val="24"/>
        </w:rPr>
        <w:t xml:space="preserve"> proper written advice. The </w:t>
      </w:r>
      <w:r w:rsidR="007A0FA0" w:rsidRPr="00036D8C">
        <w:rPr>
          <w:rFonts w:cstheme="minorHAnsi"/>
          <w:sz w:val="24"/>
          <w:szCs w:val="24"/>
        </w:rPr>
        <w:t>Trustee</w:t>
      </w:r>
      <w:r w:rsidRPr="00036D8C">
        <w:rPr>
          <w:rFonts w:cstheme="minorHAnsi"/>
          <w:sz w:val="24"/>
          <w:szCs w:val="24"/>
        </w:rPr>
        <w:t xml:space="preserve"> </w:t>
      </w:r>
      <w:r w:rsidR="008C500A" w:rsidRPr="00036D8C">
        <w:rPr>
          <w:rFonts w:cstheme="minorHAnsi"/>
          <w:sz w:val="24"/>
          <w:szCs w:val="24"/>
        </w:rPr>
        <w:t>believe</w:t>
      </w:r>
      <w:r w:rsidR="00036D8C" w:rsidRPr="00036D8C">
        <w:rPr>
          <w:rFonts w:cstheme="minorHAnsi"/>
          <w:sz w:val="24"/>
          <w:szCs w:val="24"/>
        </w:rPr>
        <w:t>s</w:t>
      </w:r>
      <w:r w:rsidR="008C500A" w:rsidRPr="00036D8C">
        <w:rPr>
          <w:rFonts w:cstheme="minorHAnsi"/>
          <w:sz w:val="24"/>
          <w:szCs w:val="24"/>
        </w:rPr>
        <w:t xml:space="preserve"> that </w:t>
      </w:r>
      <w:r w:rsidR="002E0659">
        <w:rPr>
          <w:rFonts w:cstheme="minorHAnsi"/>
          <w:sz w:val="24"/>
          <w:szCs w:val="24"/>
        </w:rPr>
        <w:t>its</w:t>
      </w:r>
      <w:r w:rsidR="002E0659" w:rsidRPr="00036D8C">
        <w:rPr>
          <w:rFonts w:cstheme="minorHAnsi"/>
          <w:sz w:val="24"/>
          <w:szCs w:val="24"/>
        </w:rPr>
        <w:t xml:space="preserve"> </w:t>
      </w:r>
      <w:r w:rsidRPr="00036D8C">
        <w:rPr>
          <w:rFonts w:cstheme="minorHAnsi"/>
          <w:sz w:val="24"/>
          <w:szCs w:val="24"/>
        </w:rPr>
        <w:t xml:space="preserve">investment advisers, </w:t>
      </w:r>
      <w:r w:rsidR="00890D92" w:rsidRPr="00036D8C">
        <w:rPr>
          <w:rFonts w:cstheme="minorHAnsi"/>
          <w:sz w:val="24"/>
          <w:szCs w:val="24"/>
        </w:rPr>
        <w:t>Isio</w:t>
      </w:r>
      <w:r w:rsidRPr="00036D8C">
        <w:rPr>
          <w:rFonts w:cstheme="minorHAnsi"/>
          <w:sz w:val="24"/>
          <w:szCs w:val="24"/>
        </w:rPr>
        <w:t xml:space="preserve">, are qualified by their ability in, and practical experience, of financial matters, and have the appropriate knowledge and experience. The investment advisers’ remuneration may be a fixed fee or based on time worked, as negotiated by the </w:t>
      </w:r>
      <w:r w:rsidR="007A0FA0" w:rsidRPr="00036D8C">
        <w:rPr>
          <w:rFonts w:cstheme="minorHAnsi"/>
          <w:sz w:val="24"/>
          <w:szCs w:val="24"/>
        </w:rPr>
        <w:t>Trustee</w:t>
      </w:r>
      <w:r w:rsidRPr="00036D8C">
        <w:rPr>
          <w:rFonts w:cstheme="minorHAnsi"/>
          <w:sz w:val="24"/>
          <w:szCs w:val="24"/>
        </w:rPr>
        <w:t xml:space="preserve"> in the interests of obtaining best value for the </w:t>
      </w:r>
      <w:r w:rsidR="007A0FA0" w:rsidRPr="00036D8C">
        <w:rPr>
          <w:rFonts w:cstheme="minorHAnsi"/>
          <w:sz w:val="24"/>
          <w:szCs w:val="24"/>
        </w:rPr>
        <w:t>Fund</w:t>
      </w:r>
      <w:r w:rsidRPr="00036D8C">
        <w:rPr>
          <w:rFonts w:cstheme="minorHAnsi"/>
          <w:sz w:val="24"/>
          <w:szCs w:val="24"/>
        </w:rPr>
        <w:t>.</w:t>
      </w:r>
    </w:p>
    <w:p w14:paraId="727E24E8" w14:textId="4833D96A" w:rsidR="00C228EC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Investment objectives</w:t>
      </w:r>
    </w:p>
    <w:p w14:paraId="08289AB7" w14:textId="76385C49" w:rsidR="00564E7D" w:rsidRPr="00564E7D" w:rsidRDefault="00564E7D" w:rsidP="00C228E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Fund closed to future accrual on 31 May 2006. </w:t>
      </w:r>
    </w:p>
    <w:p w14:paraId="74326A65" w14:textId="32CDB362" w:rsidR="006C614D" w:rsidRDefault="00C228EC" w:rsidP="00736335">
      <w:pPr>
        <w:jc w:val="both"/>
        <w:rPr>
          <w:rFonts w:cstheme="minorHAnsi"/>
          <w:sz w:val="24"/>
          <w:szCs w:val="24"/>
        </w:rPr>
      </w:pPr>
      <w:r w:rsidRPr="006C5D1A">
        <w:rPr>
          <w:rFonts w:cstheme="minorHAnsi"/>
          <w:sz w:val="24"/>
          <w:szCs w:val="24"/>
        </w:rPr>
        <w:t xml:space="preserve">The </w:t>
      </w:r>
      <w:r w:rsidR="007A0FA0" w:rsidRPr="006C5D1A">
        <w:rPr>
          <w:rFonts w:cstheme="minorHAnsi"/>
          <w:sz w:val="24"/>
          <w:szCs w:val="24"/>
        </w:rPr>
        <w:t>Trustee</w:t>
      </w:r>
      <w:r w:rsidRPr="006C5D1A">
        <w:rPr>
          <w:rFonts w:cstheme="minorHAnsi"/>
          <w:sz w:val="24"/>
          <w:szCs w:val="24"/>
        </w:rPr>
        <w:t xml:space="preserve"> invest</w:t>
      </w:r>
      <w:r w:rsidR="006C5D1A" w:rsidRPr="006C5D1A">
        <w:rPr>
          <w:rFonts w:cstheme="minorHAnsi"/>
          <w:sz w:val="24"/>
          <w:szCs w:val="24"/>
        </w:rPr>
        <w:t>s</w:t>
      </w:r>
      <w:r w:rsidRPr="006C5D1A">
        <w:rPr>
          <w:rFonts w:cstheme="minorHAnsi"/>
          <w:sz w:val="24"/>
          <w:szCs w:val="24"/>
        </w:rPr>
        <w:t xml:space="preserve"> the assets of the </w:t>
      </w:r>
      <w:r w:rsidR="007A0FA0" w:rsidRPr="006C5D1A">
        <w:rPr>
          <w:rFonts w:cstheme="minorHAnsi"/>
          <w:sz w:val="24"/>
          <w:szCs w:val="24"/>
        </w:rPr>
        <w:t>Fund</w:t>
      </w:r>
      <w:r w:rsidRPr="006C5D1A">
        <w:rPr>
          <w:rFonts w:cstheme="minorHAnsi"/>
          <w:sz w:val="24"/>
          <w:szCs w:val="24"/>
        </w:rPr>
        <w:t xml:space="preserve"> with the aim of ensuring that all members’ current and future benefits can be paid. </w:t>
      </w:r>
      <w:r w:rsidR="007D748D">
        <w:rPr>
          <w:rFonts w:cstheme="minorHAnsi"/>
          <w:sz w:val="24"/>
          <w:szCs w:val="24"/>
        </w:rPr>
        <w:t xml:space="preserve">The Trustee has set an objective to execute a full buy-out of the Fund within the next 12 – 24 months. </w:t>
      </w:r>
    </w:p>
    <w:p w14:paraId="727E24EC" w14:textId="24EC0E0B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Investment strategy</w:t>
      </w:r>
    </w:p>
    <w:p w14:paraId="727E24ED" w14:textId="78427390" w:rsidR="00C228EC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The </w:t>
      </w:r>
      <w:r w:rsidR="007A0FA0" w:rsidRPr="00FC2872">
        <w:rPr>
          <w:rFonts w:cstheme="minorHAnsi"/>
          <w:sz w:val="24"/>
          <w:szCs w:val="24"/>
        </w:rPr>
        <w:t>Trustee</w:t>
      </w:r>
      <w:r w:rsidRPr="00FC2872">
        <w:rPr>
          <w:rFonts w:cstheme="minorHAnsi"/>
          <w:sz w:val="24"/>
          <w:szCs w:val="24"/>
        </w:rPr>
        <w:t xml:space="preserve"> take</w:t>
      </w:r>
      <w:r w:rsidR="00FC2872" w:rsidRPr="00FC2872">
        <w:rPr>
          <w:rFonts w:cstheme="minorHAnsi"/>
          <w:sz w:val="24"/>
          <w:szCs w:val="24"/>
        </w:rPr>
        <w:t>s</w:t>
      </w:r>
      <w:r w:rsidRPr="00FC2872">
        <w:rPr>
          <w:rFonts w:cstheme="minorHAnsi"/>
          <w:sz w:val="24"/>
          <w:szCs w:val="24"/>
        </w:rPr>
        <w:t xml:space="preserve"> a holistic approach to considering and managing risks when formulating the </w:t>
      </w:r>
      <w:r w:rsidR="007A0FA0" w:rsidRPr="00FC2872">
        <w:rPr>
          <w:rFonts w:cstheme="minorHAnsi"/>
          <w:sz w:val="24"/>
          <w:szCs w:val="24"/>
        </w:rPr>
        <w:t>Fund</w:t>
      </w:r>
      <w:r w:rsidRPr="00FC2872">
        <w:rPr>
          <w:rFonts w:cstheme="minorHAnsi"/>
          <w:sz w:val="24"/>
          <w:szCs w:val="24"/>
        </w:rPr>
        <w:t>’s investment</w:t>
      </w:r>
      <w:r w:rsidRPr="008C500A">
        <w:rPr>
          <w:rFonts w:cstheme="minorHAnsi"/>
          <w:sz w:val="24"/>
          <w:szCs w:val="24"/>
        </w:rPr>
        <w:t xml:space="preserve"> strategy.</w:t>
      </w:r>
      <w:r w:rsidR="00757085" w:rsidRPr="00757085">
        <w:rPr>
          <w:rFonts w:cstheme="minorHAnsi"/>
          <w:sz w:val="24"/>
          <w:szCs w:val="24"/>
        </w:rPr>
        <w:t xml:space="preserve"> A non-exhaustive list of risks and financially material considerations that the Trustee has considered and sought to manage is </w:t>
      </w:r>
      <w:r w:rsidR="00757085">
        <w:rPr>
          <w:rFonts w:cstheme="minorHAnsi"/>
          <w:sz w:val="24"/>
          <w:szCs w:val="24"/>
        </w:rPr>
        <w:t>set out in Appendix B</w:t>
      </w:r>
      <w:r w:rsidR="00757085" w:rsidRPr="00757085">
        <w:rPr>
          <w:rFonts w:cstheme="minorHAnsi"/>
          <w:sz w:val="24"/>
          <w:szCs w:val="24"/>
        </w:rPr>
        <w:t xml:space="preserve">. </w:t>
      </w:r>
    </w:p>
    <w:p w14:paraId="48B52172" w14:textId="32944F94" w:rsidR="00034444" w:rsidRDefault="000C0169" w:rsidP="000C0169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In November 2025, the Trustee purchased a buy-in policy with Aviva Life &amp; Pensions UK Limited (“Aviva”) to insure </w:t>
      </w:r>
      <w:proofErr w:type="gramStart"/>
      <w:r>
        <w:rPr>
          <w:rFonts w:cstheme="minorHAnsi"/>
          <w:sz w:val="24"/>
          <w:szCs w:val="24"/>
        </w:rPr>
        <w:t>all of</w:t>
      </w:r>
      <w:proofErr w:type="gramEnd"/>
      <w:r>
        <w:rPr>
          <w:rFonts w:cstheme="minorHAnsi"/>
          <w:sz w:val="24"/>
          <w:szCs w:val="24"/>
        </w:rPr>
        <w:t xml:space="preserve"> the Fund’s liabilities. An amount of residual assets </w:t>
      </w:r>
      <w:proofErr w:type="gramStart"/>
      <w:r>
        <w:rPr>
          <w:rFonts w:cstheme="minorHAnsi"/>
          <w:sz w:val="24"/>
          <w:szCs w:val="24"/>
        </w:rPr>
        <w:t>are</w:t>
      </w:r>
      <w:proofErr w:type="gramEnd"/>
      <w:r>
        <w:rPr>
          <w:rFonts w:cstheme="minorHAnsi"/>
          <w:sz w:val="24"/>
          <w:szCs w:val="24"/>
        </w:rPr>
        <w:t xml:space="preserve"> being retained </w:t>
      </w:r>
      <w:r w:rsidR="00BD7C98">
        <w:rPr>
          <w:rFonts w:cstheme="minorHAnsi"/>
          <w:sz w:val="24"/>
          <w:szCs w:val="24"/>
        </w:rPr>
        <w:t>with</w:t>
      </w:r>
      <w:r>
        <w:rPr>
          <w:rFonts w:cstheme="minorHAnsi"/>
          <w:sz w:val="24"/>
          <w:szCs w:val="24"/>
        </w:rPr>
        <w:t>in an institutional cash fund with Legal &amp; General Investment Management (“L</w:t>
      </w:r>
      <w:r w:rsidR="00866842">
        <w:rPr>
          <w:rFonts w:cstheme="minorHAnsi"/>
          <w:sz w:val="24"/>
          <w:szCs w:val="24"/>
        </w:rPr>
        <w:t>&amp;G</w:t>
      </w:r>
      <w:r>
        <w:rPr>
          <w:rFonts w:cstheme="minorHAnsi"/>
          <w:sz w:val="24"/>
          <w:szCs w:val="24"/>
        </w:rPr>
        <w:t xml:space="preserve">”) on the Mobius Life investment platform. </w:t>
      </w:r>
    </w:p>
    <w:p w14:paraId="727E24F1" w14:textId="772822FC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lastRenderedPageBreak/>
        <w:t>Investment Management Arrangements</w:t>
      </w:r>
    </w:p>
    <w:p w14:paraId="727E24F2" w14:textId="76D226A9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FE1DF1">
        <w:rPr>
          <w:rFonts w:cstheme="minorHAnsi"/>
          <w:sz w:val="24"/>
          <w:szCs w:val="24"/>
        </w:rPr>
        <w:t xml:space="preserve">The </w:t>
      </w:r>
      <w:r w:rsidR="007A0FA0" w:rsidRPr="00FE1DF1">
        <w:rPr>
          <w:rFonts w:cstheme="minorHAnsi"/>
          <w:sz w:val="24"/>
          <w:szCs w:val="24"/>
        </w:rPr>
        <w:t>Trustee</w:t>
      </w:r>
      <w:r w:rsidRPr="00FE1DF1">
        <w:rPr>
          <w:rFonts w:cstheme="minorHAnsi"/>
          <w:sz w:val="24"/>
          <w:szCs w:val="24"/>
        </w:rPr>
        <w:t xml:space="preserve"> </w:t>
      </w:r>
      <w:r w:rsidR="00FE1DF1" w:rsidRPr="00FE1DF1">
        <w:rPr>
          <w:rFonts w:cstheme="minorHAnsi"/>
          <w:sz w:val="24"/>
          <w:szCs w:val="24"/>
        </w:rPr>
        <w:t>has</w:t>
      </w:r>
      <w:r w:rsidRPr="00FE1DF1">
        <w:rPr>
          <w:rFonts w:cstheme="minorHAnsi"/>
          <w:sz w:val="24"/>
          <w:szCs w:val="24"/>
        </w:rPr>
        <w:t xml:space="preserve"> appointed </w:t>
      </w:r>
      <w:r w:rsidR="00F4428D">
        <w:rPr>
          <w:rFonts w:cstheme="minorHAnsi"/>
          <w:sz w:val="24"/>
          <w:szCs w:val="24"/>
        </w:rPr>
        <w:t xml:space="preserve">Mobius Life as </w:t>
      </w:r>
      <w:r w:rsidR="00810A03">
        <w:rPr>
          <w:rFonts w:cstheme="minorHAnsi"/>
          <w:sz w:val="24"/>
          <w:szCs w:val="24"/>
        </w:rPr>
        <w:t xml:space="preserve">the </w:t>
      </w:r>
      <w:r w:rsidR="00F4428D">
        <w:rPr>
          <w:rFonts w:cstheme="minorHAnsi"/>
          <w:sz w:val="24"/>
          <w:szCs w:val="24"/>
        </w:rPr>
        <w:t>platform provider</w:t>
      </w:r>
      <w:r w:rsidR="00F66FD2">
        <w:rPr>
          <w:rFonts w:cstheme="minorHAnsi"/>
          <w:sz w:val="24"/>
          <w:szCs w:val="24"/>
        </w:rPr>
        <w:t>, Aviva</w:t>
      </w:r>
      <w:r w:rsidR="00913691">
        <w:rPr>
          <w:rFonts w:cstheme="minorHAnsi"/>
          <w:sz w:val="24"/>
          <w:szCs w:val="24"/>
        </w:rPr>
        <w:t xml:space="preserve"> as</w:t>
      </w:r>
      <w:r w:rsidR="00186DBF">
        <w:rPr>
          <w:rFonts w:cstheme="minorHAnsi"/>
          <w:sz w:val="24"/>
          <w:szCs w:val="24"/>
        </w:rPr>
        <w:t xml:space="preserve"> the</w:t>
      </w:r>
      <w:r w:rsidR="00913691">
        <w:rPr>
          <w:rFonts w:cstheme="minorHAnsi"/>
          <w:sz w:val="24"/>
          <w:szCs w:val="24"/>
        </w:rPr>
        <w:t xml:space="preserve"> </w:t>
      </w:r>
      <w:r w:rsidR="00186DBF">
        <w:rPr>
          <w:rFonts w:cstheme="minorHAnsi"/>
          <w:sz w:val="24"/>
          <w:szCs w:val="24"/>
        </w:rPr>
        <w:t>insurer</w:t>
      </w:r>
      <w:r w:rsidR="003C4BB4">
        <w:rPr>
          <w:rFonts w:cstheme="minorHAnsi"/>
          <w:sz w:val="24"/>
          <w:szCs w:val="24"/>
        </w:rPr>
        <w:t xml:space="preserve"> (buy-in contract)</w:t>
      </w:r>
      <w:r w:rsidR="00186DBF">
        <w:rPr>
          <w:rFonts w:cstheme="minorHAnsi"/>
          <w:sz w:val="24"/>
          <w:szCs w:val="24"/>
        </w:rPr>
        <w:t>,</w:t>
      </w:r>
      <w:r w:rsidR="00496B0E">
        <w:rPr>
          <w:rFonts w:cstheme="minorHAnsi"/>
          <w:sz w:val="24"/>
          <w:szCs w:val="24"/>
        </w:rPr>
        <w:t xml:space="preserve"> and </w:t>
      </w:r>
      <w:r w:rsidR="002E0659">
        <w:rPr>
          <w:rFonts w:cstheme="minorHAnsi"/>
          <w:sz w:val="24"/>
          <w:szCs w:val="24"/>
        </w:rPr>
        <w:t>L</w:t>
      </w:r>
      <w:r w:rsidR="00044379">
        <w:rPr>
          <w:rFonts w:cstheme="minorHAnsi"/>
          <w:sz w:val="24"/>
          <w:szCs w:val="24"/>
        </w:rPr>
        <w:t>&amp;G</w:t>
      </w:r>
      <w:r w:rsidR="00496B0E">
        <w:rPr>
          <w:rFonts w:cstheme="minorHAnsi"/>
          <w:sz w:val="24"/>
          <w:szCs w:val="24"/>
        </w:rPr>
        <w:t xml:space="preserve"> as the underlying investment manager</w:t>
      </w:r>
      <w:r w:rsidR="00C0513C">
        <w:rPr>
          <w:rFonts w:cstheme="minorHAnsi"/>
          <w:sz w:val="24"/>
          <w:szCs w:val="24"/>
        </w:rPr>
        <w:t>, as listed in Appendix A</w:t>
      </w:r>
      <w:r w:rsidR="00810A03">
        <w:rPr>
          <w:rFonts w:cstheme="minorHAnsi"/>
          <w:sz w:val="24"/>
          <w:szCs w:val="24"/>
        </w:rPr>
        <w:t xml:space="preserve">. </w:t>
      </w:r>
      <w:r w:rsidR="00A73410">
        <w:rPr>
          <w:rFonts w:cstheme="minorHAnsi"/>
          <w:sz w:val="24"/>
          <w:szCs w:val="24"/>
        </w:rPr>
        <w:t>All parties are</w:t>
      </w:r>
      <w:r w:rsidR="00827ECE">
        <w:rPr>
          <w:rFonts w:cstheme="minorHAnsi"/>
          <w:sz w:val="24"/>
          <w:szCs w:val="24"/>
        </w:rPr>
        <w:t xml:space="preserve"> </w:t>
      </w:r>
      <w:r w:rsidRPr="00FE1DF1">
        <w:rPr>
          <w:rFonts w:cstheme="minorHAnsi"/>
          <w:sz w:val="24"/>
          <w:szCs w:val="24"/>
        </w:rPr>
        <w:t>regulated under the Financial Services and Markets Act 2000.</w:t>
      </w:r>
    </w:p>
    <w:p w14:paraId="727E24F7" w14:textId="047A9F76" w:rsidR="00C228EC" w:rsidRDefault="00605779" w:rsidP="00C228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Post</w:t>
      </w:r>
      <w:r w:rsidR="008E7813">
        <w:rPr>
          <w:rFonts w:cstheme="minorHAnsi"/>
          <w:sz w:val="24"/>
          <w:szCs w:val="24"/>
        </w:rPr>
        <w:t xml:space="preserve"> Fund buy-in, the Fund’s holdings are held in an institutional cash fund with L&amp;G</w:t>
      </w:r>
      <w:r w:rsidR="00B05D49">
        <w:rPr>
          <w:rFonts w:cstheme="minorHAnsi"/>
          <w:sz w:val="24"/>
          <w:szCs w:val="24"/>
        </w:rPr>
        <w:t>.</w:t>
      </w:r>
      <w:r w:rsidR="00C228EC" w:rsidRPr="008C500A">
        <w:rPr>
          <w:rFonts w:cstheme="minorHAnsi"/>
          <w:sz w:val="24"/>
          <w:szCs w:val="24"/>
        </w:rPr>
        <w:t xml:space="preserve"> </w:t>
      </w:r>
    </w:p>
    <w:p w14:paraId="0E0B1609" w14:textId="3F99D7EE" w:rsidR="002C0C29" w:rsidRPr="008C500A" w:rsidRDefault="002C0C29" w:rsidP="00C228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The investment </w:t>
      </w:r>
      <w:r w:rsidR="00465D62">
        <w:rPr>
          <w:rFonts w:cstheme="minorHAnsi"/>
          <w:sz w:val="24"/>
          <w:szCs w:val="24"/>
        </w:rPr>
        <w:t>platform</w:t>
      </w:r>
      <w:r w:rsidR="00854748">
        <w:rPr>
          <w:rFonts w:cstheme="minorHAnsi"/>
          <w:sz w:val="24"/>
          <w:szCs w:val="24"/>
        </w:rPr>
        <w:t xml:space="preserve"> and underlying investment manager’s</w:t>
      </w:r>
      <w:r>
        <w:rPr>
          <w:rFonts w:cstheme="minorHAnsi"/>
          <w:sz w:val="24"/>
          <w:szCs w:val="24"/>
        </w:rPr>
        <w:t xml:space="preserve"> remuneration is based upon a percentage value of assets under management. </w:t>
      </w:r>
    </w:p>
    <w:p w14:paraId="727E24F8" w14:textId="7321687E" w:rsidR="00C228EC" w:rsidRPr="00FD03D8" w:rsidRDefault="00C228EC" w:rsidP="00C228EC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FD03D8">
        <w:rPr>
          <w:rFonts w:cstheme="minorHAnsi"/>
          <w:color w:val="000000" w:themeColor="text1"/>
          <w:sz w:val="24"/>
          <w:szCs w:val="24"/>
        </w:rPr>
        <w:t xml:space="preserve">As the </w:t>
      </w:r>
      <w:r w:rsidR="007A0FA0" w:rsidRPr="00FD03D8">
        <w:rPr>
          <w:rFonts w:cstheme="minorHAnsi"/>
          <w:color w:val="000000" w:themeColor="text1"/>
          <w:sz w:val="24"/>
          <w:szCs w:val="24"/>
        </w:rPr>
        <w:t>Fund</w:t>
      </w:r>
      <w:r w:rsidRPr="00FD03D8">
        <w:rPr>
          <w:rFonts w:cstheme="minorHAnsi"/>
          <w:color w:val="000000" w:themeColor="text1"/>
          <w:sz w:val="24"/>
          <w:szCs w:val="24"/>
        </w:rPr>
        <w:t xml:space="preserve">’s assets are invested in pooled vehicles, the custody of the holdings is arranged by the investment manager. </w:t>
      </w:r>
    </w:p>
    <w:p w14:paraId="727E24FB" w14:textId="14BAC528" w:rsidR="00C228EC" w:rsidRPr="008C500A" w:rsidRDefault="00183391" w:rsidP="00C228EC">
      <w:pPr>
        <w:jc w:val="both"/>
        <w:rPr>
          <w:rFonts w:cstheme="minorHAnsi"/>
          <w:b/>
          <w:color w:val="FF0000"/>
          <w:sz w:val="24"/>
          <w:szCs w:val="24"/>
        </w:rPr>
      </w:pPr>
      <w:r w:rsidRPr="005E19CE">
        <w:rPr>
          <w:rFonts w:cstheme="minorHAnsi"/>
          <w:b/>
          <w:sz w:val="24"/>
          <w:szCs w:val="24"/>
        </w:rPr>
        <w:t>I</w:t>
      </w:r>
      <w:r w:rsidR="00C228EC" w:rsidRPr="005E19CE">
        <w:rPr>
          <w:rFonts w:cstheme="minorHAnsi"/>
          <w:b/>
          <w:sz w:val="24"/>
          <w:szCs w:val="24"/>
        </w:rPr>
        <w:t>nvestment Manager Monitoring and Engagement</w:t>
      </w:r>
      <w:r w:rsidR="00C228EC" w:rsidRPr="008C500A">
        <w:rPr>
          <w:rFonts w:cstheme="minorHAnsi"/>
          <w:b/>
          <w:sz w:val="24"/>
          <w:szCs w:val="24"/>
        </w:rPr>
        <w:t xml:space="preserve"> </w:t>
      </w:r>
    </w:p>
    <w:p w14:paraId="2CE51537" w14:textId="39C643FA" w:rsidR="00671ACD" w:rsidRPr="008C500A" w:rsidRDefault="006D4638" w:rsidP="00C228EC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Trustee monitoring and </w:t>
      </w:r>
      <w:r w:rsidR="00510DDB">
        <w:rPr>
          <w:rFonts w:cstheme="minorHAnsi"/>
          <w:sz w:val="24"/>
          <w:szCs w:val="24"/>
        </w:rPr>
        <w:t>engagement</w:t>
      </w:r>
      <w:r w:rsidR="00CB16EF">
        <w:rPr>
          <w:rFonts w:cstheme="minorHAnsi"/>
          <w:sz w:val="24"/>
          <w:szCs w:val="24"/>
        </w:rPr>
        <w:t xml:space="preserve"> activities are no longer required given full Fund buy-in policy. </w:t>
      </w:r>
    </w:p>
    <w:p w14:paraId="727E2513" w14:textId="77777777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Employer-related investments</w:t>
      </w:r>
    </w:p>
    <w:p w14:paraId="41D81749" w14:textId="42734ECF" w:rsidR="007D1DB5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3956A7">
        <w:rPr>
          <w:rFonts w:cstheme="minorHAnsi"/>
          <w:sz w:val="24"/>
          <w:szCs w:val="24"/>
        </w:rPr>
        <w:t xml:space="preserve">The policy of the </w:t>
      </w:r>
      <w:r w:rsidR="007A0FA0" w:rsidRPr="003956A7">
        <w:rPr>
          <w:rFonts w:cstheme="minorHAnsi"/>
          <w:sz w:val="24"/>
          <w:szCs w:val="24"/>
        </w:rPr>
        <w:t>Trustee</w:t>
      </w:r>
      <w:r w:rsidRPr="003956A7">
        <w:rPr>
          <w:rFonts w:cstheme="minorHAnsi"/>
          <w:sz w:val="24"/>
          <w:szCs w:val="24"/>
        </w:rPr>
        <w:t xml:space="preserve"> is not to hold any employer-related investments as defined in the Pensions Act 1995 and the Occupational Pension </w:t>
      </w:r>
      <w:r w:rsidR="007A0FA0" w:rsidRPr="003956A7">
        <w:rPr>
          <w:rFonts w:cstheme="minorHAnsi"/>
          <w:sz w:val="24"/>
          <w:szCs w:val="24"/>
        </w:rPr>
        <w:t>Fund</w:t>
      </w:r>
      <w:r w:rsidRPr="003956A7">
        <w:rPr>
          <w:rFonts w:cstheme="minorHAnsi"/>
          <w:sz w:val="24"/>
          <w:szCs w:val="24"/>
        </w:rPr>
        <w:t xml:space="preserve">s (Investment) Regulations 2005 except where the </w:t>
      </w:r>
      <w:r w:rsidR="007A0FA0" w:rsidRPr="003956A7">
        <w:rPr>
          <w:rFonts w:cstheme="minorHAnsi"/>
          <w:sz w:val="24"/>
          <w:szCs w:val="24"/>
        </w:rPr>
        <w:t>Fund</w:t>
      </w:r>
      <w:r w:rsidRPr="003956A7">
        <w:rPr>
          <w:rFonts w:cstheme="minorHAnsi"/>
          <w:sz w:val="24"/>
          <w:szCs w:val="24"/>
        </w:rPr>
        <w:t xml:space="preserve"> invests in collective investment </w:t>
      </w:r>
      <w:r w:rsidR="002E0659">
        <w:rPr>
          <w:rFonts w:cstheme="minorHAnsi"/>
          <w:sz w:val="24"/>
          <w:szCs w:val="24"/>
        </w:rPr>
        <w:t>f</w:t>
      </w:r>
      <w:r w:rsidR="002E0659" w:rsidRPr="003956A7">
        <w:rPr>
          <w:rFonts w:cstheme="minorHAnsi"/>
          <w:sz w:val="24"/>
          <w:szCs w:val="24"/>
        </w:rPr>
        <w:t xml:space="preserve">unds </w:t>
      </w:r>
      <w:r w:rsidRPr="003956A7">
        <w:rPr>
          <w:rFonts w:cstheme="minorHAnsi"/>
          <w:sz w:val="24"/>
          <w:szCs w:val="24"/>
        </w:rPr>
        <w:t xml:space="preserve">that may hold employer-related investments. In this case, the total exposure to employer-related investments will not exceed 5% of the </w:t>
      </w:r>
      <w:r w:rsidR="007A0FA0" w:rsidRPr="003956A7">
        <w:rPr>
          <w:rFonts w:cstheme="minorHAnsi"/>
          <w:sz w:val="24"/>
          <w:szCs w:val="24"/>
        </w:rPr>
        <w:t>Fund</w:t>
      </w:r>
      <w:r w:rsidRPr="003956A7">
        <w:rPr>
          <w:rFonts w:cstheme="minorHAnsi"/>
          <w:sz w:val="24"/>
          <w:szCs w:val="24"/>
        </w:rPr>
        <w:t xml:space="preserve">’s total asset value. The </w:t>
      </w:r>
      <w:r w:rsidR="007A0FA0" w:rsidRPr="003956A7">
        <w:rPr>
          <w:rFonts w:cstheme="minorHAnsi"/>
          <w:sz w:val="24"/>
          <w:szCs w:val="24"/>
        </w:rPr>
        <w:t>Trustee</w:t>
      </w:r>
      <w:r w:rsidRPr="003956A7">
        <w:rPr>
          <w:rFonts w:cstheme="minorHAnsi"/>
          <w:sz w:val="24"/>
          <w:szCs w:val="24"/>
        </w:rPr>
        <w:t xml:space="preserve"> will monitor this on an ongoing basis to ensure compliance.</w:t>
      </w:r>
    </w:p>
    <w:p w14:paraId="727E2515" w14:textId="77777777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Direct investments</w:t>
      </w:r>
    </w:p>
    <w:p w14:paraId="1D1BB5DA" w14:textId="2DA698D9" w:rsidR="001D7721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Direct investments, as defined by the Pensions Act 1995, are products purchased without delegation to an investment manager through a written contract. When selecting and reviewing any direct investments, </w:t>
      </w:r>
      <w:r w:rsidRPr="008B344E">
        <w:rPr>
          <w:rFonts w:cstheme="minorHAnsi"/>
          <w:sz w:val="24"/>
          <w:szCs w:val="24"/>
        </w:rPr>
        <w:t xml:space="preserve">the </w:t>
      </w:r>
      <w:r w:rsidR="007A0FA0" w:rsidRPr="008B344E">
        <w:rPr>
          <w:rFonts w:cstheme="minorHAnsi"/>
          <w:sz w:val="24"/>
          <w:szCs w:val="24"/>
        </w:rPr>
        <w:t>Trustee</w:t>
      </w:r>
      <w:r w:rsidRPr="008B344E">
        <w:rPr>
          <w:rFonts w:cstheme="minorHAnsi"/>
          <w:sz w:val="24"/>
          <w:szCs w:val="24"/>
        </w:rPr>
        <w:t xml:space="preserve"> will obtain appropriate written advice from their investment advisers.</w:t>
      </w:r>
    </w:p>
    <w:p w14:paraId="727E2517" w14:textId="77777777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Compliance</w:t>
      </w:r>
    </w:p>
    <w:p w14:paraId="62380BCD" w14:textId="7EBDB103" w:rsidR="00CB16EF" w:rsidRPr="0084781D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This Statement has been prepared in compliance with the Pensions Act 1995, the Pensions Act 2004, and the Occupational Pension </w:t>
      </w:r>
      <w:r w:rsidR="007A0FA0">
        <w:rPr>
          <w:rFonts w:cstheme="minorHAnsi"/>
          <w:sz w:val="24"/>
          <w:szCs w:val="24"/>
        </w:rPr>
        <w:t>Fund</w:t>
      </w:r>
      <w:r w:rsidRPr="008C500A">
        <w:rPr>
          <w:rFonts w:cstheme="minorHAnsi"/>
          <w:sz w:val="24"/>
          <w:szCs w:val="24"/>
        </w:rPr>
        <w:t xml:space="preserve">s (Investment) Regulations 2005. Before preparing or subsequently revising this Statement, the </w:t>
      </w:r>
      <w:r w:rsidR="007A0FA0" w:rsidRPr="004C6FBB">
        <w:rPr>
          <w:rFonts w:cstheme="minorHAnsi"/>
          <w:sz w:val="24"/>
          <w:szCs w:val="24"/>
        </w:rPr>
        <w:t>Trustee</w:t>
      </w:r>
      <w:r w:rsidRPr="004C6FBB">
        <w:rPr>
          <w:rFonts w:cstheme="minorHAnsi"/>
          <w:sz w:val="24"/>
          <w:szCs w:val="24"/>
        </w:rPr>
        <w:t xml:space="preserve"> consulted the </w:t>
      </w:r>
      <w:r w:rsidR="002E0659">
        <w:rPr>
          <w:rFonts w:cstheme="minorHAnsi"/>
          <w:sz w:val="24"/>
          <w:szCs w:val="24"/>
        </w:rPr>
        <w:t>Principal Employer of the Fund</w:t>
      </w:r>
      <w:r w:rsidRPr="004C6FBB">
        <w:rPr>
          <w:rFonts w:cstheme="minorHAnsi"/>
          <w:sz w:val="24"/>
          <w:szCs w:val="24"/>
        </w:rPr>
        <w:t xml:space="preserve"> and took appropriate written advice. The Statement is reviewed at least every three years, and without delay after any significant change in the</w:t>
      </w:r>
      <w:r w:rsidRPr="008C500A">
        <w:rPr>
          <w:rFonts w:cstheme="minorHAnsi"/>
          <w:sz w:val="24"/>
          <w:szCs w:val="24"/>
        </w:rPr>
        <w:t xml:space="preserve"> investment arrangements.</w:t>
      </w:r>
    </w:p>
    <w:p w14:paraId="09027DED" w14:textId="7F4A9C32" w:rsidR="00D16A0E" w:rsidRPr="00D16A0E" w:rsidRDefault="00C228EC" w:rsidP="00C228EC">
      <w:pPr>
        <w:jc w:val="both"/>
        <w:rPr>
          <w:rFonts w:cstheme="minorHAnsi"/>
          <w:b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Signed:</w:t>
      </w:r>
      <w:r w:rsidR="00D16A0E" w:rsidRPr="00D16A0E">
        <w:rPr>
          <w:noProof/>
        </w:rPr>
        <w:t xml:space="preserve"> </w:t>
      </w:r>
      <w:r w:rsidR="00D16A0E" w:rsidRPr="00D16A0E">
        <w:rPr>
          <w:rFonts w:cstheme="minorHAnsi"/>
          <w:bCs/>
          <w:sz w:val="24"/>
          <w:szCs w:val="24"/>
        </w:rPr>
        <w:t>Chair of Trustee Board</w:t>
      </w:r>
    </w:p>
    <w:p w14:paraId="727E2521" w14:textId="16279EC4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b/>
          <w:sz w:val="24"/>
          <w:szCs w:val="24"/>
        </w:rPr>
        <w:t>Date:</w:t>
      </w:r>
      <w:r w:rsidR="0084781D">
        <w:rPr>
          <w:rFonts w:cstheme="minorHAnsi"/>
          <w:b/>
          <w:sz w:val="24"/>
          <w:szCs w:val="24"/>
        </w:rPr>
        <w:t xml:space="preserve"> 18 December 2025</w:t>
      </w:r>
      <w:r w:rsidRPr="008C500A">
        <w:rPr>
          <w:rFonts w:cstheme="minorHAnsi"/>
          <w:sz w:val="24"/>
          <w:szCs w:val="24"/>
        </w:rPr>
        <w:t xml:space="preserve"> </w:t>
      </w:r>
    </w:p>
    <w:p w14:paraId="727E2522" w14:textId="1BE57DF6" w:rsidR="00C228EC" w:rsidRDefault="00C228EC" w:rsidP="00C228EC">
      <w:pPr>
        <w:jc w:val="both"/>
        <w:rPr>
          <w:rFonts w:cstheme="minorHAnsi"/>
          <w:b/>
          <w:sz w:val="24"/>
          <w:szCs w:val="24"/>
        </w:rPr>
      </w:pPr>
    </w:p>
    <w:p w14:paraId="66185472" w14:textId="77777777" w:rsidR="00F73F56" w:rsidRPr="008C500A" w:rsidRDefault="00F73F56" w:rsidP="00C228EC">
      <w:pPr>
        <w:jc w:val="both"/>
        <w:rPr>
          <w:rFonts w:cstheme="minorHAnsi"/>
          <w:b/>
          <w:sz w:val="24"/>
          <w:szCs w:val="24"/>
        </w:rPr>
      </w:pPr>
    </w:p>
    <w:p w14:paraId="44237B38" w14:textId="77777777" w:rsidR="00924627" w:rsidRPr="002E0659" w:rsidRDefault="00924627" w:rsidP="002E0659">
      <w:pPr>
        <w:jc w:val="both"/>
        <w:rPr>
          <w:rFonts w:cstheme="minorHAnsi"/>
          <w:b/>
          <w:bCs/>
          <w:sz w:val="24"/>
          <w:szCs w:val="24"/>
        </w:rPr>
      </w:pPr>
      <w:r w:rsidRPr="002E0659">
        <w:rPr>
          <w:rFonts w:cstheme="minorHAnsi"/>
          <w:b/>
          <w:bCs/>
          <w:sz w:val="24"/>
          <w:szCs w:val="24"/>
        </w:rPr>
        <w:lastRenderedPageBreak/>
        <w:t>Appendix A</w:t>
      </w:r>
    </w:p>
    <w:p w14:paraId="203AF953" w14:textId="49FC7F81" w:rsidR="00924627" w:rsidRPr="002E0659" w:rsidRDefault="00082DBD" w:rsidP="00924627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assets of the Fund are set out below</w:t>
      </w:r>
      <w:r w:rsidR="00924627" w:rsidRPr="002E0659">
        <w:rPr>
          <w:rFonts w:cstheme="minorHAnsi"/>
          <w:sz w:val="24"/>
          <w:szCs w:val="24"/>
        </w:rPr>
        <w:t xml:space="preserve"> (as </w:t>
      </w:r>
      <w:proofErr w:type="gramStart"/>
      <w:r w:rsidR="00924627" w:rsidRPr="002E0659">
        <w:rPr>
          <w:rFonts w:cstheme="minorHAnsi"/>
          <w:sz w:val="24"/>
          <w:szCs w:val="24"/>
        </w:rPr>
        <w:t>at</w:t>
      </w:r>
      <w:proofErr w:type="gramEnd"/>
      <w:r w:rsidR="00924627" w:rsidRPr="002E0659">
        <w:rPr>
          <w:rFonts w:cstheme="minorHAnsi"/>
          <w:sz w:val="24"/>
          <w:szCs w:val="24"/>
        </w:rPr>
        <w:t xml:space="preserve"> 30 </w:t>
      </w:r>
      <w:r w:rsidR="003C406A">
        <w:rPr>
          <w:rFonts w:cstheme="minorHAnsi"/>
          <w:sz w:val="24"/>
          <w:szCs w:val="24"/>
        </w:rPr>
        <w:t>November</w:t>
      </w:r>
      <w:r w:rsidR="003C406A" w:rsidRPr="002E0659">
        <w:rPr>
          <w:rFonts w:cstheme="minorHAnsi"/>
          <w:sz w:val="24"/>
          <w:szCs w:val="24"/>
        </w:rPr>
        <w:t xml:space="preserve"> </w:t>
      </w:r>
      <w:r w:rsidR="00924627" w:rsidRPr="002E0659">
        <w:rPr>
          <w:rFonts w:cstheme="minorHAnsi"/>
          <w:sz w:val="24"/>
          <w:szCs w:val="24"/>
        </w:rPr>
        <w:t>202</w:t>
      </w:r>
      <w:r w:rsidR="003C406A">
        <w:rPr>
          <w:rFonts w:cstheme="minorHAnsi"/>
          <w:sz w:val="24"/>
          <w:szCs w:val="24"/>
        </w:rPr>
        <w:t>5</w:t>
      </w:r>
      <w:r w:rsidR="00924627" w:rsidRPr="002E0659">
        <w:rPr>
          <w:rFonts w:cstheme="minorHAnsi"/>
          <w:sz w:val="24"/>
          <w:szCs w:val="24"/>
        </w:rPr>
        <w:t>)</w:t>
      </w:r>
      <w:r w:rsidR="003C406A">
        <w:rPr>
          <w:rFonts w:cstheme="minorHAnsi"/>
          <w:sz w:val="24"/>
          <w:szCs w:val="24"/>
        </w:rPr>
        <w:t xml:space="preserve">. The </w:t>
      </w:r>
      <w:r w:rsidR="00EC5D5A">
        <w:rPr>
          <w:rFonts w:cstheme="minorHAnsi"/>
          <w:sz w:val="24"/>
          <w:szCs w:val="24"/>
        </w:rPr>
        <w:t>L</w:t>
      </w:r>
      <w:r w:rsidR="00866842">
        <w:rPr>
          <w:rFonts w:cstheme="minorHAnsi"/>
          <w:sz w:val="24"/>
          <w:szCs w:val="24"/>
        </w:rPr>
        <w:t>&amp;G</w:t>
      </w:r>
      <w:r w:rsidR="00EC5D5A">
        <w:rPr>
          <w:rFonts w:cstheme="minorHAnsi"/>
          <w:sz w:val="24"/>
          <w:szCs w:val="24"/>
        </w:rPr>
        <w:t xml:space="preserve"> C</w:t>
      </w:r>
      <w:r w:rsidR="003C406A">
        <w:rPr>
          <w:rFonts w:cstheme="minorHAnsi"/>
          <w:sz w:val="24"/>
          <w:szCs w:val="24"/>
        </w:rPr>
        <w:t xml:space="preserve">ash fund </w:t>
      </w:r>
      <w:r w:rsidR="00D843E2" w:rsidRPr="002E0659">
        <w:rPr>
          <w:rFonts w:cstheme="minorHAnsi"/>
          <w:sz w:val="24"/>
          <w:szCs w:val="24"/>
        </w:rPr>
        <w:t xml:space="preserve">is </w:t>
      </w:r>
      <w:r w:rsidR="00E210B1" w:rsidRPr="002E0659">
        <w:rPr>
          <w:rFonts w:cstheme="minorHAnsi"/>
          <w:sz w:val="24"/>
          <w:szCs w:val="24"/>
        </w:rPr>
        <w:t xml:space="preserve">invested via </w:t>
      </w:r>
      <w:r w:rsidR="00D843E2" w:rsidRPr="002E0659">
        <w:rPr>
          <w:rFonts w:cstheme="minorHAnsi"/>
          <w:sz w:val="24"/>
          <w:szCs w:val="24"/>
        </w:rPr>
        <w:t xml:space="preserve">the </w:t>
      </w:r>
      <w:r w:rsidR="00E210B1" w:rsidRPr="002E0659">
        <w:rPr>
          <w:rFonts w:cstheme="minorHAnsi"/>
          <w:sz w:val="24"/>
          <w:szCs w:val="24"/>
        </w:rPr>
        <w:t>Mobius Life Platform.</w:t>
      </w:r>
    </w:p>
    <w:p w14:paraId="3F071EF7" w14:textId="77777777" w:rsidR="00765572" w:rsidRPr="002E0659" w:rsidRDefault="00765572" w:rsidP="002E0659">
      <w:pPr>
        <w:jc w:val="both"/>
        <w:rPr>
          <w:rFonts w:cstheme="minorHAnsi"/>
          <w:sz w:val="24"/>
          <w:szCs w:val="24"/>
        </w:rPr>
      </w:pPr>
    </w:p>
    <w:tbl>
      <w:tblPr>
        <w:tblW w:w="79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08"/>
        <w:gridCol w:w="1960"/>
        <w:gridCol w:w="4365"/>
      </w:tblGrid>
      <w:tr w:rsidR="002214B8" w:rsidRPr="002E0659" w14:paraId="2C3164F8" w14:textId="77777777" w:rsidTr="00757085">
        <w:tc>
          <w:tcPr>
            <w:tcW w:w="1608" w:type="dxa"/>
            <w:shd w:val="clear" w:color="auto" w:fill="BFBFBF"/>
            <w:vAlign w:val="center"/>
          </w:tcPr>
          <w:p w14:paraId="3F8E365A" w14:textId="7DA3D79D" w:rsidR="002214B8" w:rsidRPr="002E0659" w:rsidRDefault="002214B8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 w:rsidRPr="002E0659">
              <w:rPr>
                <w:rFonts w:cstheme="minorHAnsi"/>
                <w:sz w:val="24"/>
                <w:szCs w:val="24"/>
              </w:rPr>
              <w:t>Investment Manager</w:t>
            </w:r>
            <w:r>
              <w:rPr>
                <w:rFonts w:cstheme="minorHAnsi"/>
                <w:sz w:val="24"/>
                <w:szCs w:val="24"/>
              </w:rPr>
              <w:t>/ Insurer</w:t>
            </w:r>
          </w:p>
        </w:tc>
        <w:tc>
          <w:tcPr>
            <w:tcW w:w="1960" w:type="dxa"/>
            <w:shd w:val="clear" w:color="auto" w:fill="BFBFBF"/>
            <w:vAlign w:val="center"/>
          </w:tcPr>
          <w:p w14:paraId="4DC7E6BF" w14:textId="77777777" w:rsidR="002214B8" w:rsidRPr="002E0659" w:rsidRDefault="002214B8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 w:rsidRPr="002E0659">
              <w:rPr>
                <w:rFonts w:cstheme="minorHAnsi"/>
                <w:sz w:val="24"/>
                <w:szCs w:val="24"/>
              </w:rPr>
              <w:t>Asset Class</w:t>
            </w:r>
          </w:p>
        </w:tc>
        <w:tc>
          <w:tcPr>
            <w:tcW w:w="4365" w:type="dxa"/>
            <w:shd w:val="clear" w:color="auto" w:fill="BFBFBF"/>
            <w:vAlign w:val="center"/>
          </w:tcPr>
          <w:p w14:paraId="08EC153E" w14:textId="187CB8CB" w:rsidR="002214B8" w:rsidRPr="002E0659" w:rsidRDefault="002214B8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Detail</w:t>
            </w:r>
          </w:p>
        </w:tc>
      </w:tr>
      <w:tr w:rsidR="002214B8" w:rsidRPr="002E0659" w14:paraId="1A3C6843" w14:textId="77777777" w:rsidTr="00757085">
        <w:trPr>
          <w:trHeight w:val="454"/>
        </w:trPr>
        <w:tc>
          <w:tcPr>
            <w:tcW w:w="1608" w:type="dxa"/>
            <w:vAlign w:val="center"/>
          </w:tcPr>
          <w:p w14:paraId="760CAF44" w14:textId="16ED1D3E" w:rsidR="002214B8" w:rsidRPr="002E0659" w:rsidRDefault="002214B8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Aviva</w:t>
            </w:r>
          </w:p>
        </w:tc>
        <w:tc>
          <w:tcPr>
            <w:tcW w:w="1960" w:type="dxa"/>
            <w:vAlign w:val="center"/>
          </w:tcPr>
          <w:p w14:paraId="5FACC747" w14:textId="19337594" w:rsidR="002214B8" w:rsidRPr="002E0659" w:rsidRDefault="002214B8" w:rsidP="007570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Buy-in policy</w:t>
            </w:r>
          </w:p>
        </w:tc>
        <w:tc>
          <w:tcPr>
            <w:tcW w:w="4365" w:type="dxa"/>
            <w:vAlign w:val="bottom"/>
          </w:tcPr>
          <w:p w14:paraId="0265C723" w14:textId="421B1A91" w:rsidR="002214B8" w:rsidRPr="002E0659" w:rsidRDefault="002214B8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Expected to meet all future member benefit payments from the Fund.</w:t>
            </w:r>
          </w:p>
        </w:tc>
      </w:tr>
      <w:tr w:rsidR="002214B8" w:rsidRPr="002E0659" w14:paraId="4DDC6484" w14:textId="77777777" w:rsidTr="00757085">
        <w:trPr>
          <w:trHeight w:val="454"/>
        </w:trPr>
        <w:tc>
          <w:tcPr>
            <w:tcW w:w="1608" w:type="dxa"/>
            <w:vAlign w:val="center"/>
          </w:tcPr>
          <w:p w14:paraId="1A7889B7" w14:textId="1553C0BA" w:rsidR="002214B8" w:rsidRPr="002E0659" w:rsidRDefault="00866842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L&amp;G</w:t>
            </w:r>
          </w:p>
        </w:tc>
        <w:tc>
          <w:tcPr>
            <w:tcW w:w="1960" w:type="dxa"/>
            <w:vAlign w:val="center"/>
          </w:tcPr>
          <w:p w14:paraId="1D47EDE0" w14:textId="0355BD3B" w:rsidR="002214B8" w:rsidRPr="002E0659" w:rsidRDefault="00D4599E" w:rsidP="00757085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Cash</w:t>
            </w:r>
          </w:p>
        </w:tc>
        <w:tc>
          <w:tcPr>
            <w:tcW w:w="4365" w:type="dxa"/>
            <w:vAlign w:val="bottom"/>
          </w:tcPr>
          <w:p w14:paraId="6B7D6D49" w14:textId="55ACDAEB" w:rsidR="002214B8" w:rsidRPr="002E0659" w:rsidRDefault="00D4599E" w:rsidP="001974D3">
            <w:pPr>
              <w:jc w:val="both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Institutional cash fund – </w:t>
            </w:r>
            <w:r w:rsidR="00796778">
              <w:rPr>
                <w:rFonts w:cstheme="minorHAnsi"/>
                <w:sz w:val="24"/>
                <w:szCs w:val="24"/>
              </w:rPr>
              <w:t>benchmark return is SONIA.</w:t>
            </w:r>
          </w:p>
        </w:tc>
      </w:tr>
    </w:tbl>
    <w:p w14:paraId="32F5C82E" w14:textId="77777777" w:rsidR="003237C2" w:rsidRDefault="003237C2" w:rsidP="00C228EC">
      <w:pPr>
        <w:jc w:val="both"/>
        <w:rPr>
          <w:rFonts w:cstheme="minorHAnsi"/>
          <w:b/>
          <w:sz w:val="24"/>
          <w:szCs w:val="24"/>
        </w:rPr>
      </w:pPr>
    </w:p>
    <w:p w14:paraId="727E253F" w14:textId="09C3ADF8" w:rsidR="00C228EC" w:rsidRPr="008C500A" w:rsidRDefault="00765572" w:rsidP="00C228EC">
      <w:pPr>
        <w:jc w:val="both"/>
        <w:rPr>
          <w:rFonts w:cstheme="minorHAnsi"/>
          <w:b/>
          <w:sz w:val="24"/>
          <w:szCs w:val="24"/>
        </w:rPr>
      </w:pPr>
      <w:r w:rsidRPr="00757085">
        <w:rPr>
          <w:rFonts w:cstheme="minorHAnsi"/>
          <w:sz w:val="24"/>
          <w:szCs w:val="24"/>
        </w:rPr>
        <w:br w:type="page"/>
      </w:r>
      <w:r w:rsidR="00C228EC" w:rsidRPr="008C500A">
        <w:rPr>
          <w:rFonts w:cstheme="minorHAnsi"/>
          <w:b/>
          <w:sz w:val="24"/>
          <w:szCs w:val="24"/>
        </w:rPr>
        <w:lastRenderedPageBreak/>
        <w:t xml:space="preserve">Appendix B – Risks, Financially Material Considerations </w:t>
      </w:r>
      <w:r w:rsidR="00B04FB0" w:rsidRPr="008C500A">
        <w:rPr>
          <w:rFonts w:cstheme="minorHAnsi"/>
          <w:b/>
          <w:sz w:val="24"/>
          <w:szCs w:val="24"/>
        </w:rPr>
        <w:t xml:space="preserve">(including ESG and climate change) </w:t>
      </w:r>
      <w:r w:rsidR="00C228EC" w:rsidRPr="008C500A">
        <w:rPr>
          <w:rFonts w:cstheme="minorHAnsi"/>
          <w:b/>
          <w:sz w:val="24"/>
          <w:szCs w:val="24"/>
        </w:rPr>
        <w:t xml:space="preserve">and </w:t>
      </w:r>
      <w:proofErr w:type="gramStart"/>
      <w:r w:rsidR="00C228EC" w:rsidRPr="008C500A">
        <w:rPr>
          <w:rFonts w:cstheme="minorHAnsi"/>
          <w:b/>
          <w:sz w:val="24"/>
          <w:szCs w:val="24"/>
        </w:rPr>
        <w:t>Non-Financial</w:t>
      </w:r>
      <w:proofErr w:type="gramEnd"/>
      <w:r w:rsidR="00C228EC" w:rsidRPr="008C500A">
        <w:rPr>
          <w:rFonts w:cstheme="minorHAnsi"/>
          <w:b/>
          <w:sz w:val="24"/>
          <w:szCs w:val="24"/>
        </w:rPr>
        <w:t xml:space="preserve"> matters </w:t>
      </w:r>
    </w:p>
    <w:p w14:paraId="727E2540" w14:textId="246B8E54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A non-exhaustive list of risks and financially material considerations that the </w:t>
      </w:r>
      <w:r w:rsidR="007A0FA0" w:rsidRPr="00B438E6">
        <w:rPr>
          <w:rFonts w:cstheme="minorHAnsi"/>
          <w:sz w:val="24"/>
          <w:szCs w:val="24"/>
        </w:rPr>
        <w:t>Trustee</w:t>
      </w:r>
      <w:r w:rsidRPr="008C500A">
        <w:rPr>
          <w:rFonts w:cstheme="minorHAnsi"/>
          <w:sz w:val="24"/>
          <w:szCs w:val="24"/>
        </w:rPr>
        <w:t xml:space="preserve"> </w:t>
      </w:r>
      <w:r w:rsidR="00B438E6">
        <w:rPr>
          <w:rFonts w:cstheme="minorHAnsi"/>
          <w:sz w:val="24"/>
          <w:szCs w:val="24"/>
        </w:rPr>
        <w:t>has</w:t>
      </w:r>
      <w:r w:rsidRPr="008C500A">
        <w:rPr>
          <w:rFonts w:cstheme="minorHAnsi"/>
          <w:sz w:val="24"/>
          <w:szCs w:val="24"/>
        </w:rPr>
        <w:t xml:space="preserve"> considered and sought to manage is shown below. </w:t>
      </w:r>
    </w:p>
    <w:p w14:paraId="727E2541" w14:textId="4D3FF68B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The </w:t>
      </w:r>
      <w:r w:rsidR="007A0FA0" w:rsidRPr="00B438E6">
        <w:rPr>
          <w:rFonts w:cstheme="minorHAnsi"/>
          <w:sz w:val="24"/>
          <w:szCs w:val="24"/>
        </w:rPr>
        <w:t>Trustee</w:t>
      </w:r>
      <w:r w:rsidRPr="008C500A">
        <w:rPr>
          <w:rFonts w:cstheme="minorHAnsi"/>
          <w:sz w:val="24"/>
          <w:szCs w:val="24"/>
        </w:rPr>
        <w:t xml:space="preserve"> adopt</w:t>
      </w:r>
      <w:r w:rsidR="00B438E6">
        <w:rPr>
          <w:rFonts w:cstheme="minorHAnsi"/>
          <w:sz w:val="24"/>
          <w:szCs w:val="24"/>
        </w:rPr>
        <w:t>s</w:t>
      </w:r>
      <w:r w:rsidRPr="008C500A">
        <w:rPr>
          <w:rFonts w:cstheme="minorHAnsi"/>
          <w:sz w:val="24"/>
          <w:szCs w:val="24"/>
        </w:rPr>
        <w:t xml:space="preserve"> an integrated risk management approach. The three key risks associated </w:t>
      </w:r>
      <w:proofErr w:type="spellStart"/>
      <w:r w:rsidRPr="008C500A">
        <w:rPr>
          <w:rFonts w:cstheme="minorHAnsi"/>
          <w:sz w:val="24"/>
          <w:szCs w:val="24"/>
        </w:rPr>
        <w:t>within</w:t>
      </w:r>
      <w:proofErr w:type="spellEnd"/>
      <w:r w:rsidRPr="008C500A">
        <w:rPr>
          <w:rFonts w:cstheme="minorHAnsi"/>
          <w:sz w:val="24"/>
          <w:szCs w:val="24"/>
        </w:rPr>
        <w:t xml:space="preserve"> this framework and how they are managed are stated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01"/>
      </w:tblGrid>
      <w:tr w:rsidR="00C228EC" w:rsidRPr="008C500A" w14:paraId="727E2545" w14:textId="77777777" w:rsidTr="007A1A05">
        <w:tc>
          <w:tcPr>
            <w:tcW w:w="1838" w:type="dxa"/>
          </w:tcPr>
          <w:p w14:paraId="727E2542" w14:textId="77777777" w:rsidR="00C228EC" w:rsidRPr="008C500A" w:rsidRDefault="00C228EC" w:rsidP="00C228EC">
            <w:pPr>
              <w:rPr>
                <w:rFonts w:cstheme="minorHAnsi"/>
                <w:b/>
                <w:sz w:val="24"/>
                <w:szCs w:val="24"/>
              </w:rPr>
            </w:pPr>
            <w:r w:rsidRPr="008C500A">
              <w:rPr>
                <w:rFonts w:cstheme="minorHAnsi"/>
                <w:b/>
                <w:sz w:val="24"/>
                <w:szCs w:val="24"/>
              </w:rPr>
              <w:t>Risks</w:t>
            </w:r>
          </w:p>
        </w:tc>
        <w:tc>
          <w:tcPr>
            <w:tcW w:w="2977" w:type="dxa"/>
          </w:tcPr>
          <w:p w14:paraId="727E2543" w14:textId="77777777" w:rsidR="00C228EC" w:rsidRPr="008C500A" w:rsidRDefault="00C228EC" w:rsidP="00C228EC">
            <w:pPr>
              <w:rPr>
                <w:rFonts w:cstheme="minorHAnsi"/>
                <w:b/>
                <w:sz w:val="24"/>
                <w:szCs w:val="24"/>
              </w:rPr>
            </w:pPr>
            <w:r w:rsidRPr="008C500A">
              <w:rPr>
                <w:rFonts w:cstheme="minorHAnsi"/>
                <w:b/>
                <w:sz w:val="24"/>
                <w:szCs w:val="24"/>
              </w:rPr>
              <w:t>Definition</w:t>
            </w:r>
          </w:p>
        </w:tc>
        <w:tc>
          <w:tcPr>
            <w:tcW w:w="4201" w:type="dxa"/>
          </w:tcPr>
          <w:p w14:paraId="727E2544" w14:textId="49156687" w:rsidR="00C228EC" w:rsidRPr="008C500A" w:rsidRDefault="00034444" w:rsidP="00C228EC">
            <w:pPr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Mitigation</w:t>
            </w:r>
          </w:p>
        </w:tc>
      </w:tr>
      <w:tr w:rsidR="00C228EC" w:rsidRPr="008C500A" w14:paraId="727E254A" w14:textId="77777777" w:rsidTr="007A1A05">
        <w:tc>
          <w:tcPr>
            <w:tcW w:w="1838" w:type="dxa"/>
          </w:tcPr>
          <w:p w14:paraId="727E2546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  <w:vertAlign w:val="superscript"/>
              </w:rPr>
            </w:pPr>
            <w:r w:rsidRPr="008C500A">
              <w:rPr>
                <w:rFonts w:cstheme="minorHAnsi"/>
                <w:sz w:val="24"/>
                <w:szCs w:val="24"/>
              </w:rPr>
              <w:t>Investment</w:t>
            </w:r>
          </w:p>
        </w:tc>
        <w:tc>
          <w:tcPr>
            <w:tcW w:w="2977" w:type="dxa"/>
          </w:tcPr>
          <w:p w14:paraId="727E2547" w14:textId="1ED0D464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The risk that the </w:t>
            </w:r>
            <w:r w:rsidR="007A0FA0" w:rsidRPr="00B438E6">
              <w:rPr>
                <w:rFonts w:cstheme="minorHAnsi"/>
                <w:sz w:val="24"/>
                <w:szCs w:val="24"/>
              </w:rPr>
              <w:t>Fund</w:t>
            </w:r>
            <w:r w:rsidRPr="00B438E6">
              <w:rPr>
                <w:rFonts w:cstheme="minorHAnsi"/>
                <w:sz w:val="24"/>
                <w:szCs w:val="24"/>
              </w:rPr>
              <w:t>’s position deteriorates due to the assets</w:t>
            </w:r>
            <w:r w:rsidRPr="008C500A">
              <w:rPr>
                <w:rFonts w:cstheme="minorHAnsi"/>
                <w:sz w:val="24"/>
                <w:szCs w:val="24"/>
              </w:rPr>
              <w:t xml:space="preserve"> underperforming. </w:t>
            </w:r>
          </w:p>
        </w:tc>
        <w:tc>
          <w:tcPr>
            <w:tcW w:w="4201" w:type="dxa"/>
          </w:tcPr>
          <w:p w14:paraId="727E2549" w14:textId="0994AB0E" w:rsidR="00C228EC" w:rsidRPr="008C500A" w:rsidRDefault="005957EF" w:rsidP="00C228EC">
            <w:pPr>
              <w:numPr>
                <w:ilvl w:val="0"/>
                <w:numId w:val="7"/>
              </w:num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combination of a full Fund buy-in policy and residual institutional cash fund broadly removes this risk.</w:t>
            </w:r>
          </w:p>
        </w:tc>
      </w:tr>
      <w:tr w:rsidR="00C228EC" w:rsidRPr="008C500A" w14:paraId="727E254F" w14:textId="77777777" w:rsidTr="007A1A05">
        <w:tc>
          <w:tcPr>
            <w:tcW w:w="1838" w:type="dxa"/>
          </w:tcPr>
          <w:p w14:paraId="727E254B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Funding</w:t>
            </w:r>
          </w:p>
        </w:tc>
        <w:tc>
          <w:tcPr>
            <w:tcW w:w="2977" w:type="dxa"/>
          </w:tcPr>
          <w:p w14:paraId="727E254C" w14:textId="21412D01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The extent </w:t>
            </w:r>
            <w:r w:rsidRPr="00B438E6">
              <w:rPr>
                <w:rFonts w:cstheme="minorHAnsi"/>
                <w:sz w:val="24"/>
                <w:szCs w:val="24"/>
              </w:rPr>
              <w:t xml:space="preserve">to which there are insufficient </w:t>
            </w:r>
            <w:r w:rsidR="007A0FA0" w:rsidRPr="00B438E6">
              <w:rPr>
                <w:rFonts w:cstheme="minorHAnsi"/>
                <w:sz w:val="24"/>
                <w:szCs w:val="24"/>
              </w:rPr>
              <w:t>Fund</w:t>
            </w:r>
            <w:r w:rsidRPr="00B438E6">
              <w:rPr>
                <w:rFonts w:cstheme="minorHAnsi"/>
                <w:sz w:val="24"/>
                <w:szCs w:val="24"/>
              </w:rPr>
              <w:t xml:space="preserve"> assets available to cover</w:t>
            </w:r>
            <w:r w:rsidRPr="008C500A">
              <w:rPr>
                <w:rFonts w:cstheme="minorHAnsi"/>
                <w:sz w:val="24"/>
                <w:szCs w:val="24"/>
              </w:rPr>
              <w:t xml:space="preserve"> ongoing and future liability cash flows.</w:t>
            </w:r>
          </w:p>
        </w:tc>
        <w:tc>
          <w:tcPr>
            <w:tcW w:w="4201" w:type="dxa"/>
          </w:tcPr>
          <w:p w14:paraId="727E254E" w14:textId="09258AE8" w:rsidR="00C228EC" w:rsidRPr="008C500A" w:rsidRDefault="00E014C0" w:rsidP="00C228EC">
            <w:pPr>
              <w:numPr>
                <w:ilvl w:val="0"/>
                <w:numId w:val="4"/>
              </w:num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buy-in policy removes this </w:t>
            </w:r>
            <w:r w:rsidR="006E3454">
              <w:rPr>
                <w:rFonts w:cstheme="minorHAnsi"/>
                <w:sz w:val="24"/>
                <w:szCs w:val="24"/>
              </w:rPr>
              <w:t>risk</w:t>
            </w:r>
            <w:r w:rsidR="00656F60">
              <w:rPr>
                <w:rFonts w:cstheme="minorHAnsi"/>
                <w:sz w:val="24"/>
                <w:szCs w:val="24"/>
              </w:rPr>
              <w:t>.</w:t>
            </w:r>
            <w:r w:rsidR="00C228EC" w:rsidRPr="008C500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228EC" w:rsidRPr="008C500A" w14:paraId="727E2553" w14:textId="77777777" w:rsidTr="007A1A05">
        <w:tc>
          <w:tcPr>
            <w:tcW w:w="1838" w:type="dxa"/>
          </w:tcPr>
          <w:p w14:paraId="727E2550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Covenant</w:t>
            </w:r>
          </w:p>
        </w:tc>
        <w:tc>
          <w:tcPr>
            <w:tcW w:w="2977" w:type="dxa"/>
          </w:tcPr>
          <w:p w14:paraId="727E2551" w14:textId="13F4D0DD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The risk that the </w:t>
            </w:r>
            <w:r w:rsidR="009C190E">
              <w:rPr>
                <w:rFonts w:cstheme="minorHAnsi"/>
                <w:sz w:val="24"/>
                <w:szCs w:val="24"/>
              </w:rPr>
              <w:t xml:space="preserve">Principal Employer </w:t>
            </w:r>
            <w:r w:rsidRPr="008C500A">
              <w:rPr>
                <w:rFonts w:cstheme="minorHAnsi"/>
                <w:sz w:val="24"/>
                <w:szCs w:val="24"/>
              </w:rPr>
              <w:t xml:space="preserve">becomes unable to continue providing the </w:t>
            </w:r>
            <w:r w:rsidRPr="00B438E6">
              <w:rPr>
                <w:rFonts w:cstheme="minorHAnsi"/>
                <w:sz w:val="24"/>
                <w:szCs w:val="24"/>
              </w:rPr>
              <w:t xml:space="preserve">required financial support to the </w:t>
            </w:r>
            <w:r w:rsidR="007A0FA0" w:rsidRPr="00B438E6">
              <w:rPr>
                <w:rFonts w:cstheme="minorHAnsi"/>
                <w:sz w:val="24"/>
                <w:szCs w:val="24"/>
              </w:rPr>
              <w:t>Fund</w:t>
            </w:r>
            <w:r w:rsidRPr="00B438E6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4201" w:type="dxa"/>
          </w:tcPr>
          <w:p w14:paraId="727E2552" w14:textId="08E0630C" w:rsidR="00C228EC" w:rsidRPr="008C500A" w:rsidRDefault="006E3454" w:rsidP="00C228EC">
            <w:pPr>
              <w:numPr>
                <w:ilvl w:val="0"/>
                <w:numId w:val="10"/>
              </w:num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The Fund can now rely on the insurer covenant and wider protections in place </w:t>
            </w:r>
            <w:r w:rsidR="008D3A2B">
              <w:rPr>
                <w:rFonts w:cstheme="minorHAnsi"/>
                <w:sz w:val="24"/>
                <w:szCs w:val="24"/>
              </w:rPr>
              <w:t>within the UK insurance regulatory regime</w:t>
            </w:r>
            <w:r w:rsidR="00C228EC" w:rsidRPr="00D645AC">
              <w:rPr>
                <w:rFonts w:cstheme="minorHAnsi"/>
                <w:sz w:val="24"/>
                <w:szCs w:val="24"/>
              </w:rPr>
              <w:t>.</w:t>
            </w:r>
            <w:r w:rsidR="008D3A2B">
              <w:rPr>
                <w:rFonts w:cstheme="minorHAnsi"/>
                <w:sz w:val="24"/>
                <w:szCs w:val="24"/>
              </w:rPr>
              <w:t xml:space="preserve"> However, the Employer </w:t>
            </w:r>
            <w:r w:rsidR="00772B65">
              <w:rPr>
                <w:rFonts w:cstheme="minorHAnsi"/>
                <w:sz w:val="24"/>
                <w:szCs w:val="24"/>
              </w:rPr>
              <w:t>covenant is still relevant over the period until any buy-out and wind-up.</w:t>
            </w:r>
            <w:r w:rsidR="00C228EC" w:rsidRPr="008C500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</w:tbl>
    <w:p w14:paraId="727E2554" w14:textId="77777777" w:rsidR="00C228EC" w:rsidRPr="008C500A" w:rsidRDefault="00C228EC" w:rsidP="00C228EC">
      <w:pPr>
        <w:jc w:val="both"/>
        <w:rPr>
          <w:rFonts w:cstheme="minorHAnsi"/>
          <w:sz w:val="24"/>
          <w:szCs w:val="24"/>
          <w:vertAlign w:val="superscript"/>
        </w:rPr>
      </w:pPr>
    </w:p>
    <w:p w14:paraId="0326575B" w14:textId="77777777" w:rsidR="00B23659" w:rsidRDefault="00B23659" w:rsidP="00C228EC">
      <w:pPr>
        <w:jc w:val="both"/>
        <w:rPr>
          <w:rFonts w:cstheme="minorHAnsi"/>
          <w:sz w:val="24"/>
          <w:szCs w:val="24"/>
        </w:rPr>
      </w:pPr>
    </w:p>
    <w:p w14:paraId="727E2555" w14:textId="70F1DDC0" w:rsidR="00C228EC" w:rsidRPr="008C500A" w:rsidRDefault="00C228EC" w:rsidP="00C228EC">
      <w:pPr>
        <w:jc w:val="both"/>
        <w:rPr>
          <w:rFonts w:cstheme="minorHAnsi"/>
          <w:sz w:val="24"/>
          <w:szCs w:val="24"/>
        </w:rPr>
      </w:pPr>
      <w:r w:rsidRPr="008C500A">
        <w:rPr>
          <w:rFonts w:cstheme="minorHAnsi"/>
          <w:sz w:val="24"/>
          <w:szCs w:val="24"/>
        </w:rPr>
        <w:t xml:space="preserve">The </w:t>
      </w:r>
      <w:r w:rsidR="007A0FA0" w:rsidRPr="00D645AC">
        <w:rPr>
          <w:rFonts w:cstheme="minorHAnsi"/>
          <w:sz w:val="24"/>
          <w:szCs w:val="24"/>
        </w:rPr>
        <w:t>Fund</w:t>
      </w:r>
      <w:r w:rsidRPr="00D645AC">
        <w:rPr>
          <w:rFonts w:cstheme="minorHAnsi"/>
          <w:sz w:val="24"/>
          <w:szCs w:val="24"/>
        </w:rPr>
        <w:t xml:space="preserve"> is exposed to </w:t>
      </w:r>
      <w:proofErr w:type="gramStart"/>
      <w:r w:rsidRPr="00D645AC">
        <w:rPr>
          <w:rFonts w:cstheme="minorHAnsi"/>
          <w:sz w:val="24"/>
          <w:szCs w:val="24"/>
        </w:rPr>
        <w:t>a number of</w:t>
      </w:r>
      <w:proofErr w:type="gramEnd"/>
      <w:r w:rsidRPr="00D645AC">
        <w:rPr>
          <w:rFonts w:cstheme="minorHAnsi"/>
          <w:sz w:val="24"/>
          <w:szCs w:val="24"/>
        </w:rPr>
        <w:t xml:space="preserve"> underlying risks relating to the </w:t>
      </w:r>
      <w:r w:rsidR="007A0FA0" w:rsidRPr="00D645AC">
        <w:rPr>
          <w:rFonts w:cstheme="minorHAnsi"/>
          <w:sz w:val="24"/>
          <w:szCs w:val="24"/>
        </w:rPr>
        <w:t>Fund</w:t>
      </w:r>
      <w:r w:rsidRPr="00D645AC">
        <w:rPr>
          <w:rFonts w:cstheme="minorHAnsi"/>
          <w:sz w:val="24"/>
          <w:szCs w:val="24"/>
        </w:rPr>
        <w:t>’s investment strategy, these are summarised below: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4201"/>
      </w:tblGrid>
      <w:tr w:rsidR="00C228EC" w:rsidRPr="008C500A" w14:paraId="727E2559" w14:textId="77777777" w:rsidTr="009A1063">
        <w:tc>
          <w:tcPr>
            <w:tcW w:w="1838" w:type="dxa"/>
          </w:tcPr>
          <w:p w14:paraId="727E2556" w14:textId="77777777" w:rsidR="00C228EC" w:rsidRPr="009A1063" w:rsidRDefault="00C228EC" w:rsidP="00C228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A1063">
              <w:rPr>
                <w:rFonts w:cstheme="minorHAnsi"/>
                <w:b/>
                <w:bCs/>
                <w:sz w:val="24"/>
                <w:szCs w:val="24"/>
              </w:rPr>
              <w:t>Risk</w:t>
            </w:r>
          </w:p>
        </w:tc>
        <w:tc>
          <w:tcPr>
            <w:tcW w:w="2977" w:type="dxa"/>
          </w:tcPr>
          <w:p w14:paraId="727E2557" w14:textId="77777777" w:rsidR="00C228EC" w:rsidRPr="009A1063" w:rsidRDefault="00C228EC" w:rsidP="00C228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A1063">
              <w:rPr>
                <w:rFonts w:cstheme="minorHAnsi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4201" w:type="dxa"/>
          </w:tcPr>
          <w:p w14:paraId="727E2558" w14:textId="2344800E" w:rsidR="00C228EC" w:rsidRPr="009A1063" w:rsidRDefault="002B4D53" w:rsidP="00C228EC">
            <w:pPr>
              <w:rPr>
                <w:rFonts w:cstheme="minorHAnsi"/>
                <w:b/>
                <w:bCs/>
                <w:sz w:val="24"/>
                <w:szCs w:val="24"/>
              </w:rPr>
            </w:pPr>
            <w:r w:rsidRPr="009A1063">
              <w:rPr>
                <w:rFonts w:cstheme="minorHAnsi"/>
                <w:b/>
                <w:bCs/>
                <w:sz w:val="24"/>
                <w:szCs w:val="24"/>
              </w:rPr>
              <w:t>Mitigation</w:t>
            </w:r>
          </w:p>
        </w:tc>
      </w:tr>
      <w:tr w:rsidR="00C228EC" w:rsidRPr="008C500A" w14:paraId="727E255E" w14:textId="77777777" w:rsidTr="009A1063">
        <w:tc>
          <w:tcPr>
            <w:tcW w:w="1838" w:type="dxa"/>
          </w:tcPr>
          <w:p w14:paraId="727E255A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Interest rates and inflation</w:t>
            </w:r>
          </w:p>
        </w:tc>
        <w:tc>
          <w:tcPr>
            <w:tcW w:w="2977" w:type="dxa"/>
          </w:tcPr>
          <w:p w14:paraId="727E255B" w14:textId="35FEE352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The risk of mismatch </w:t>
            </w:r>
            <w:r w:rsidRPr="002A6981">
              <w:rPr>
                <w:rFonts w:cstheme="minorHAnsi"/>
                <w:sz w:val="24"/>
                <w:szCs w:val="24"/>
              </w:rPr>
              <w:t xml:space="preserve">between the value of the </w:t>
            </w:r>
            <w:r w:rsidR="007A0FA0" w:rsidRPr="002A6981">
              <w:rPr>
                <w:rFonts w:cstheme="minorHAnsi"/>
                <w:sz w:val="24"/>
                <w:szCs w:val="24"/>
              </w:rPr>
              <w:t>Fund</w:t>
            </w:r>
            <w:r w:rsidRPr="002A6981">
              <w:rPr>
                <w:rFonts w:cstheme="minorHAnsi"/>
                <w:sz w:val="24"/>
                <w:szCs w:val="24"/>
              </w:rPr>
              <w:t xml:space="preserve"> assets and present value o</w:t>
            </w:r>
            <w:r w:rsidRPr="008C500A">
              <w:rPr>
                <w:rFonts w:cstheme="minorHAnsi"/>
                <w:sz w:val="24"/>
                <w:szCs w:val="24"/>
              </w:rPr>
              <w:t>f liabilities from changes in interest rates and inflation expectations.</w:t>
            </w:r>
          </w:p>
        </w:tc>
        <w:tc>
          <w:tcPr>
            <w:tcW w:w="4201" w:type="dxa"/>
          </w:tcPr>
          <w:p w14:paraId="727E255D" w14:textId="2F99469E" w:rsidR="00C228EC" w:rsidRPr="008C500A" w:rsidRDefault="002B4D53" w:rsidP="004A2AE9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buy-in policy removes this risk</w:t>
            </w:r>
            <w:r w:rsidR="004A2AE9">
              <w:rPr>
                <w:rFonts w:cstheme="minorHAnsi"/>
                <w:sz w:val="24"/>
                <w:szCs w:val="24"/>
              </w:rPr>
              <w:t xml:space="preserve">. </w:t>
            </w:r>
            <w:r w:rsidR="00C228EC" w:rsidRPr="008C500A">
              <w:rPr>
                <w:rFonts w:cstheme="minorHAnsi"/>
                <w:sz w:val="24"/>
                <w:szCs w:val="24"/>
              </w:rPr>
              <w:t xml:space="preserve"> </w:t>
            </w:r>
          </w:p>
        </w:tc>
      </w:tr>
      <w:tr w:rsidR="00C228EC" w:rsidRPr="008C500A" w14:paraId="727E2563" w14:textId="77777777" w:rsidTr="009A1063">
        <w:tc>
          <w:tcPr>
            <w:tcW w:w="1838" w:type="dxa"/>
          </w:tcPr>
          <w:p w14:paraId="727E255F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Liquidity</w:t>
            </w:r>
          </w:p>
        </w:tc>
        <w:tc>
          <w:tcPr>
            <w:tcW w:w="2977" w:type="dxa"/>
          </w:tcPr>
          <w:p w14:paraId="727E2560" w14:textId="77777777" w:rsidR="00C228EC" w:rsidRPr="008C500A" w:rsidRDefault="00C228EC" w:rsidP="00C228E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Difficulties in raising sufficient cash when required without adversely impacting the fair market value of the investment. </w:t>
            </w:r>
          </w:p>
          <w:p w14:paraId="727E2561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14:paraId="727E2562" w14:textId="0627B730" w:rsidR="00161A5F" w:rsidRPr="008C500A" w:rsidRDefault="00292EE6" w:rsidP="002000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The buy-in policy removes this risk</w:t>
            </w:r>
            <w:r w:rsidR="00EB2738">
              <w:rPr>
                <w:sz w:val="24"/>
                <w:szCs w:val="24"/>
              </w:rPr>
              <w:t>.</w:t>
            </w:r>
          </w:p>
        </w:tc>
      </w:tr>
      <w:tr w:rsidR="00C228EC" w:rsidRPr="008C500A" w14:paraId="727E2569" w14:textId="77777777" w:rsidTr="009A1063">
        <w:tc>
          <w:tcPr>
            <w:tcW w:w="1838" w:type="dxa"/>
          </w:tcPr>
          <w:p w14:paraId="727E2564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Market </w:t>
            </w:r>
          </w:p>
          <w:p w14:paraId="727E2565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27E2566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Experiencing losses due to factors that affect the </w:t>
            </w:r>
            <w:r w:rsidRPr="008C500A">
              <w:rPr>
                <w:rFonts w:cstheme="minorHAnsi"/>
                <w:sz w:val="24"/>
                <w:szCs w:val="24"/>
              </w:rPr>
              <w:lastRenderedPageBreak/>
              <w:t xml:space="preserve">overall performance of the financial </w:t>
            </w:r>
            <w:r w:rsidRPr="008C500A">
              <w:rPr>
                <w:rFonts w:cstheme="minorHAnsi"/>
                <w:bCs/>
                <w:sz w:val="24"/>
                <w:szCs w:val="24"/>
              </w:rPr>
              <w:t>markets.</w:t>
            </w:r>
          </w:p>
        </w:tc>
        <w:tc>
          <w:tcPr>
            <w:tcW w:w="4201" w:type="dxa"/>
          </w:tcPr>
          <w:p w14:paraId="727E2567" w14:textId="16435D68" w:rsidR="00C228EC" w:rsidRPr="008C500A" w:rsidRDefault="00292EE6" w:rsidP="00C228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lastRenderedPageBreak/>
              <w:t>The buy-in policy removes this risk.</w:t>
            </w:r>
          </w:p>
          <w:p w14:paraId="727E2568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28EC" w:rsidRPr="008C500A" w14:paraId="727E256F" w14:textId="77777777" w:rsidTr="009A1063">
        <w:tc>
          <w:tcPr>
            <w:tcW w:w="1838" w:type="dxa"/>
          </w:tcPr>
          <w:p w14:paraId="727E256A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Credit</w:t>
            </w:r>
          </w:p>
        </w:tc>
        <w:tc>
          <w:tcPr>
            <w:tcW w:w="2977" w:type="dxa"/>
          </w:tcPr>
          <w:p w14:paraId="727E256B" w14:textId="77777777" w:rsidR="00C228EC" w:rsidRPr="008C500A" w:rsidRDefault="00C228EC" w:rsidP="00C228EC">
            <w:pPr>
              <w:contextualSpacing/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Default on payments due as part of a financial security contract.</w:t>
            </w:r>
          </w:p>
          <w:p w14:paraId="727E256C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4201" w:type="dxa"/>
          </w:tcPr>
          <w:p w14:paraId="62C1ACEB" w14:textId="69837CAD" w:rsidR="001D5855" w:rsidRDefault="008E35C3" w:rsidP="00C228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buy-in policy removes this risk</w:t>
            </w:r>
            <w:r w:rsidR="00774537">
              <w:rPr>
                <w:rFonts w:cstheme="minorHAnsi"/>
                <w:sz w:val="24"/>
                <w:szCs w:val="24"/>
              </w:rPr>
              <w:t xml:space="preserve">. </w:t>
            </w:r>
          </w:p>
          <w:p w14:paraId="17190E03" w14:textId="56B116B9" w:rsidR="00666196" w:rsidRDefault="00D54BB3" w:rsidP="00C228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27E256E" w14:textId="02B0010D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C228EC" w:rsidRPr="008C500A" w14:paraId="727E2579" w14:textId="77777777" w:rsidTr="009A1063">
        <w:tc>
          <w:tcPr>
            <w:tcW w:w="1838" w:type="dxa"/>
          </w:tcPr>
          <w:p w14:paraId="727E2570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Environmental, Social and Governance</w:t>
            </w:r>
          </w:p>
        </w:tc>
        <w:tc>
          <w:tcPr>
            <w:tcW w:w="2977" w:type="dxa"/>
          </w:tcPr>
          <w:p w14:paraId="727E2571" w14:textId="6F3E5E1E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Exposure to Environmental, Social and Governance factors, including but not limited to climate change, which can impact the performance of </w:t>
            </w:r>
            <w:r w:rsidRPr="002A6981">
              <w:rPr>
                <w:rFonts w:cstheme="minorHAnsi"/>
                <w:sz w:val="24"/>
                <w:szCs w:val="24"/>
              </w:rPr>
              <w:t xml:space="preserve">the </w:t>
            </w:r>
            <w:r w:rsidR="007A0FA0" w:rsidRPr="002A6981">
              <w:rPr>
                <w:rFonts w:cstheme="minorHAnsi"/>
                <w:sz w:val="24"/>
                <w:szCs w:val="24"/>
              </w:rPr>
              <w:t>Fund</w:t>
            </w:r>
            <w:r w:rsidRPr="002A6981">
              <w:rPr>
                <w:rFonts w:cstheme="minorHAnsi"/>
                <w:sz w:val="24"/>
                <w:szCs w:val="24"/>
              </w:rPr>
              <w:t>’s investments.</w:t>
            </w:r>
          </w:p>
        </w:tc>
        <w:tc>
          <w:tcPr>
            <w:tcW w:w="4201" w:type="dxa"/>
          </w:tcPr>
          <w:p w14:paraId="0C06B5B2" w14:textId="77777777" w:rsidR="00C228EC" w:rsidRDefault="00B15895" w:rsidP="00C228EC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Given the nature of the buy-in policy, it is not possible to actively monitor any ESG criteria. However, the buy-in provider’s approach to E</w:t>
            </w:r>
            <w:r w:rsidR="00F91E78">
              <w:rPr>
                <w:rFonts w:cstheme="minorHAnsi"/>
                <w:sz w:val="24"/>
                <w:szCs w:val="24"/>
              </w:rPr>
              <w:t xml:space="preserve">SG was reviewed as part of the insurer due diligence process. </w:t>
            </w:r>
            <w:r w:rsidR="00C228EC" w:rsidRPr="008C500A">
              <w:rPr>
                <w:rFonts w:cstheme="minorHAnsi"/>
                <w:sz w:val="24"/>
                <w:szCs w:val="24"/>
              </w:rPr>
              <w:t xml:space="preserve"> </w:t>
            </w:r>
          </w:p>
          <w:p w14:paraId="716B58D3" w14:textId="77777777" w:rsidR="003C28A7" w:rsidRDefault="003C28A7" w:rsidP="00C228EC">
            <w:pPr>
              <w:rPr>
                <w:rFonts w:cstheme="minorHAnsi"/>
                <w:color w:val="00338D"/>
                <w:sz w:val="20"/>
                <w:szCs w:val="20"/>
              </w:rPr>
            </w:pPr>
          </w:p>
          <w:p w14:paraId="727E2578" w14:textId="56EE6DA5" w:rsidR="003C28A7" w:rsidRPr="008C500A" w:rsidRDefault="0050367F" w:rsidP="00C228EC">
            <w:pPr>
              <w:rPr>
                <w:rFonts w:cstheme="minorHAnsi"/>
                <w:color w:val="00338D"/>
                <w:sz w:val="20"/>
                <w:szCs w:val="20"/>
              </w:rPr>
            </w:pPr>
            <w:r w:rsidRPr="009A1063">
              <w:rPr>
                <w:rFonts w:cstheme="minorHAnsi"/>
                <w:sz w:val="24"/>
                <w:szCs w:val="24"/>
              </w:rPr>
              <w:t>Trustee stewardship and engagement policies are no longer applicable given Fund buy-in policy and residual cash holdings.</w:t>
            </w:r>
            <w:r>
              <w:rPr>
                <w:rFonts w:cstheme="minorHAnsi"/>
                <w:color w:val="00338D"/>
                <w:sz w:val="20"/>
                <w:szCs w:val="20"/>
              </w:rPr>
              <w:t xml:space="preserve"> </w:t>
            </w:r>
          </w:p>
        </w:tc>
      </w:tr>
      <w:tr w:rsidR="00C228EC" w:rsidRPr="008C500A" w14:paraId="727E257F" w14:textId="77777777" w:rsidTr="009A1063">
        <w:tc>
          <w:tcPr>
            <w:tcW w:w="1838" w:type="dxa"/>
          </w:tcPr>
          <w:p w14:paraId="727E257A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Currency</w:t>
            </w:r>
          </w:p>
        </w:tc>
        <w:tc>
          <w:tcPr>
            <w:tcW w:w="2977" w:type="dxa"/>
          </w:tcPr>
          <w:p w14:paraId="727E257B" w14:textId="09FD9DBD" w:rsidR="00C228EC" w:rsidRPr="002A6981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2A6981">
              <w:rPr>
                <w:rFonts w:cstheme="minorHAnsi"/>
                <w:sz w:val="24"/>
                <w:szCs w:val="24"/>
              </w:rPr>
              <w:t xml:space="preserve">The potential for adverse currency movements to have an impact on the </w:t>
            </w:r>
            <w:r w:rsidR="007A0FA0" w:rsidRPr="002A6981">
              <w:rPr>
                <w:rFonts w:cstheme="minorHAnsi"/>
                <w:sz w:val="24"/>
                <w:szCs w:val="24"/>
              </w:rPr>
              <w:t>Fund</w:t>
            </w:r>
            <w:r w:rsidRPr="002A6981">
              <w:rPr>
                <w:rFonts w:cstheme="minorHAnsi"/>
                <w:sz w:val="24"/>
                <w:szCs w:val="24"/>
              </w:rPr>
              <w:t>’s investments.</w:t>
            </w:r>
          </w:p>
        </w:tc>
        <w:tc>
          <w:tcPr>
            <w:tcW w:w="4201" w:type="dxa"/>
          </w:tcPr>
          <w:p w14:paraId="727E257C" w14:textId="520BD129" w:rsidR="00C228EC" w:rsidRPr="008C500A" w:rsidRDefault="00E35E28" w:rsidP="00E52C61">
            <w:pPr>
              <w:contextualSpacing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The buy-in policy removes this risk</w:t>
            </w:r>
            <w:r w:rsidR="00C228EC" w:rsidRPr="008C500A">
              <w:rPr>
                <w:rFonts w:cstheme="minorHAnsi"/>
                <w:sz w:val="24"/>
                <w:szCs w:val="24"/>
              </w:rPr>
              <w:t>.</w:t>
            </w:r>
          </w:p>
          <w:p w14:paraId="727E257E" w14:textId="77777777" w:rsidR="00C228EC" w:rsidRPr="008C500A" w:rsidRDefault="00C228EC" w:rsidP="000F6909">
            <w:pPr>
              <w:ind w:left="720"/>
              <w:contextualSpacing/>
              <w:rPr>
                <w:rFonts w:cstheme="minorHAnsi"/>
                <w:sz w:val="24"/>
                <w:szCs w:val="24"/>
              </w:rPr>
            </w:pPr>
          </w:p>
        </w:tc>
      </w:tr>
      <w:tr w:rsidR="00C228EC" w:rsidRPr="008C500A" w14:paraId="727E2583" w14:textId="77777777" w:rsidTr="009A1063">
        <w:tc>
          <w:tcPr>
            <w:tcW w:w="1838" w:type="dxa"/>
          </w:tcPr>
          <w:p w14:paraId="727E2580" w14:textId="77777777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>Non-financial</w:t>
            </w:r>
          </w:p>
        </w:tc>
        <w:tc>
          <w:tcPr>
            <w:tcW w:w="2977" w:type="dxa"/>
          </w:tcPr>
          <w:p w14:paraId="727E2581" w14:textId="45D87B0E" w:rsidR="00C228EC" w:rsidRPr="002A6981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2A6981">
              <w:rPr>
                <w:rFonts w:cstheme="minorHAnsi"/>
                <w:sz w:val="24"/>
                <w:szCs w:val="24"/>
              </w:rPr>
              <w:t xml:space="preserve">Any factor that is not expected to have a financial impact on the </w:t>
            </w:r>
            <w:r w:rsidR="007A0FA0" w:rsidRPr="002A6981">
              <w:rPr>
                <w:rFonts w:cstheme="minorHAnsi"/>
                <w:sz w:val="24"/>
                <w:szCs w:val="24"/>
              </w:rPr>
              <w:t>Fund</w:t>
            </w:r>
            <w:r w:rsidRPr="002A6981">
              <w:rPr>
                <w:rFonts w:cstheme="minorHAnsi"/>
                <w:sz w:val="24"/>
                <w:szCs w:val="24"/>
              </w:rPr>
              <w:t>’s investments.</w:t>
            </w:r>
          </w:p>
        </w:tc>
        <w:tc>
          <w:tcPr>
            <w:tcW w:w="4201" w:type="dxa"/>
          </w:tcPr>
          <w:p w14:paraId="727E2582" w14:textId="123EEFAD" w:rsidR="00C228EC" w:rsidRPr="008C500A" w:rsidRDefault="00C228EC" w:rsidP="00C228EC">
            <w:pPr>
              <w:rPr>
                <w:rFonts w:cstheme="minorHAnsi"/>
                <w:sz w:val="24"/>
                <w:szCs w:val="24"/>
              </w:rPr>
            </w:pPr>
            <w:r w:rsidRPr="008C500A">
              <w:rPr>
                <w:rFonts w:cstheme="minorHAnsi"/>
                <w:sz w:val="24"/>
                <w:szCs w:val="24"/>
              </w:rPr>
              <w:t xml:space="preserve">Non-financial matters are not </w:t>
            </w:r>
            <w:proofErr w:type="gramStart"/>
            <w:r w:rsidRPr="008C500A">
              <w:rPr>
                <w:rFonts w:cstheme="minorHAnsi"/>
                <w:sz w:val="24"/>
                <w:szCs w:val="24"/>
              </w:rPr>
              <w:t>taken into account</w:t>
            </w:r>
            <w:proofErr w:type="gramEnd"/>
            <w:r w:rsidRPr="008C500A">
              <w:rPr>
                <w:rFonts w:cstheme="minorHAnsi"/>
                <w:sz w:val="24"/>
                <w:szCs w:val="24"/>
              </w:rPr>
              <w:t xml:space="preserve"> in the selection, retention or realisation of investments.</w:t>
            </w:r>
          </w:p>
        </w:tc>
      </w:tr>
    </w:tbl>
    <w:p w14:paraId="727E2584" w14:textId="77777777" w:rsidR="00C228EC" w:rsidRPr="008C500A" w:rsidRDefault="00C228EC" w:rsidP="00C228EC">
      <w:pPr>
        <w:jc w:val="both"/>
        <w:rPr>
          <w:rFonts w:cstheme="minorHAnsi"/>
          <w:b/>
          <w:sz w:val="24"/>
          <w:szCs w:val="24"/>
        </w:rPr>
      </w:pPr>
    </w:p>
    <w:p w14:paraId="4B9A1628" w14:textId="17CADFED" w:rsidR="00003976" w:rsidRPr="00003976" w:rsidRDefault="00003976" w:rsidP="00BA57C3">
      <w:pPr>
        <w:spacing w:after="0" w:line="240" w:lineRule="auto"/>
        <w:rPr>
          <w:rFonts w:cstheme="minorHAnsi"/>
          <w:bCs/>
          <w:sz w:val="24"/>
          <w:szCs w:val="24"/>
        </w:rPr>
      </w:pPr>
    </w:p>
    <w:sectPr w:rsidR="00003976" w:rsidRPr="0000397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D6401" w14:textId="77777777" w:rsidR="007B240E" w:rsidRDefault="007B240E" w:rsidP="005820D4">
      <w:pPr>
        <w:spacing w:after="0" w:line="240" w:lineRule="auto"/>
      </w:pPr>
      <w:r>
        <w:separator/>
      </w:r>
    </w:p>
  </w:endnote>
  <w:endnote w:type="continuationSeparator" w:id="0">
    <w:p w14:paraId="05501D85" w14:textId="77777777" w:rsidR="007B240E" w:rsidRDefault="007B240E" w:rsidP="005820D4">
      <w:pPr>
        <w:spacing w:after="0" w:line="240" w:lineRule="auto"/>
      </w:pPr>
      <w:r>
        <w:continuationSeparator/>
      </w:r>
    </w:p>
  </w:endnote>
  <w:endnote w:type="continuationNotice" w:id="1">
    <w:p w14:paraId="41866791" w14:textId="77777777" w:rsidR="007B240E" w:rsidRDefault="007B24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67B66" w14:textId="77777777" w:rsidR="002C6CBE" w:rsidRDefault="002C6CB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CC71" w14:textId="77777777" w:rsidR="002C6CBE" w:rsidRDefault="002C6CB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78AFAF" w14:textId="77777777" w:rsidR="002C6CBE" w:rsidRDefault="002C6C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5311D2" w14:textId="77777777" w:rsidR="007B240E" w:rsidRDefault="007B240E" w:rsidP="005820D4">
      <w:pPr>
        <w:spacing w:after="0" w:line="240" w:lineRule="auto"/>
      </w:pPr>
      <w:r>
        <w:separator/>
      </w:r>
    </w:p>
  </w:footnote>
  <w:footnote w:type="continuationSeparator" w:id="0">
    <w:p w14:paraId="361BB63E" w14:textId="77777777" w:rsidR="007B240E" w:rsidRDefault="007B240E" w:rsidP="005820D4">
      <w:pPr>
        <w:spacing w:after="0" w:line="240" w:lineRule="auto"/>
      </w:pPr>
      <w:r>
        <w:continuationSeparator/>
      </w:r>
    </w:p>
  </w:footnote>
  <w:footnote w:type="continuationNotice" w:id="1">
    <w:p w14:paraId="73538159" w14:textId="77777777" w:rsidR="007B240E" w:rsidRDefault="007B240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9AEAFC" w14:textId="77777777" w:rsidR="002C6CBE" w:rsidRDefault="002C6CB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D827D" w14:textId="56F9CD3F" w:rsidR="000F6909" w:rsidRDefault="00047289">
    <w:pPr>
      <w:pStyle w:val="Header"/>
    </w:pPr>
    <w:r>
      <w:rPr>
        <w:noProof/>
        <w:lang w:val="en-AU" w:eastAsia="en-AU"/>
      </w:rPr>
      <w:drawing>
        <wp:inline distT="0" distB="0" distL="0" distR="0" wp14:anchorId="4843C227" wp14:editId="6A7C2AF5">
          <wp:extent cx="611832" cy="417600"/>
          <wp:effectExtent l="0" t="0" r="0" b="1905"/>
          <wp:docPr id="1724068091" name="Picture 1" descr="A black background with white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4068091" name="Picture 1" descr="A black background with white text&#10;&#10;AI-generated content may be incorrect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832" cy="417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20044" w14:textId="77777777" w:rsidR="002C6CBE" w:rsidRDefault="002C6CB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11FD8"/>
    <w:multiLevelType w:val="hybridMultilevel"/>
    <w:tmpl w:val="CF50B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130866"/>
    <w:multiLevelType w:val="hybridMultilevel"/>
    <w:tmpl w:val="AEA476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F700B"/>
    <w:multiLevelType w:val="hybridMultilevel"/>
    <w:tmpl w:val="E44486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FA7231"/>
    <w:multiLevelType w:val="hybridMultilevel"/>
    <w:tmpl w:val="3B28D4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3163C4"/>
    <w:multiLevelType w:val="multilevel"/>
    <w:tmpl w:val="F78EB5AE"/>
    <w:name w:val="HeadingList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"/>
      <w:lvlJc w:val="left"/>
      <w:pPr>
        <w:tabs>
          <w:tab w:val="num" w:pos="360"/>
        </w:tabs>
        <w:ind w:left="360" w:hanging="360"/>
      </w:pPr>
      <w:rPr>
        <w:vertAlign w:val="superscript"/>
      </w:rPr>
    </w:lvl>
    <w:lvl w:ilvl="6">
      <w:start w:val="1"/>
      <w:numFmt w:val="upperLetter"/>
      <w:lvlText w:val="%7"/>
      <w:lvlJc w:val="left"/>
      <w:pPr>
        <w:tabs>
          <w:tab w:val="num" w:pos="720"/>
        </w:tabs>
        <w:ind w:left="720" w:hanging="360"/>
      </w:pPr>
    </w:lvl>
    <w:lvl w:ilvl="7">
      <w:start w:val="1"/>
      <w:numFmt w:val="decimal"/>
      <w:lvlText w:val="%8"/>
      <w:lvlJc w:val="left"/>
      <w:pPr>
        <w:tabs>
          <w:tab w:val="num" w:pos="1080"/>
        </w:tabs>
        <w:ind w:left="1080" w:hanging="360"/>
      </w:pPr>
    </w:lvl>
    <w:lvl w:ilvl="8">
      <w:start w:val="1"/>
      <w:numFmt w:val="lowerLetter"/>
      <w:lvlText w:val="%9"/>
      <w:lvlJc w:val="left"/>
      <w:pPr>
        <w:tabs>
          <w:tab w:val="num" w:pos="1440"/>
        </w:tabs>
        <w:ind w:left="1440" w:hanging="360"/>
      </w:pPr>
    </w:lvl>
  </w:abstractNum>
  <w:abstractNum w:abstractNumId="5" w15:restartNumberingAfterBreak="0">
    <w:nsid w:val="209E11EE"/>
    <w:multiLevelType w:val="hybridMultilevel"/>
    <w:tmpl w:val="3864C8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120C93"/>
    <w:multiLevelType w:val="hybridMultilevel"/>
    <w:tmpl w:val="90EACE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F97F13"/>
    <w:multiLevelType w:val="hybridMultilevel"/>
    <w:tmpl w:val="3E965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0229A"/>
    <w:multiLevelType w:val="hybridMultilevel"/>
    <w:tmpl w:val="41DAD3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F93EB9"/>
    <w:multiLevelType w:val="hybridMultilevel"/>
    <w:tmpl w:val="EB1E8A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B821A1"/>
    <w:multiLevelType w:val="hybridMultilevel"/>
    <w:tmpl w:val="B672CF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7009C6"/>
    <w:multiLevelType w:val="hybridMultilevel"/>
    <w:tmpl w:val="8C705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460F8"/>
    <w:multiLevelType w:val="multilevel"/>
    <w:tmpl w:val="FF9C881A"/>
    <w:lvl w:ilvl="0">
      <w:start w:val="1"/>
      <w:numFmt w:val="decimal"/>
      <w:pStyle w:val="OutlineNum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</w:rPr>
    </w:lvl>
    <w:lvl w:ilvl="1">
      <w:start w:val="1"/>
      <w:numFmt w:val="decimal"/>
      <w:pStyle w:val="OutlineNum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pStyle w:val="OutlineNum3"/>
      <w:lvlText w:val="%1.%2.%3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5EF772B9"/>
    <w:multiLevelType w:val="hybridMultilevel"/>
    <w:tmpl w:val="7212A40E"/>
    <w:lvl w:ilvl="0" w:tplc="23303BC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5D6BC4"/>
    <w:multiLevelType w:val="hybridMultilevel"/>
    <w:tmpl w:val="F73E9A4C"/>
    <w:lvl w:ilvl="0" w:tplc="961E90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037DE5"/>
    <w:multiLevelType w:val="hybridMultilevel"/>
    <w:tmpl w:val="1A688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886AE9"/>
    <w:multiLevelType w:val="hybridMultilevel"/>
    <w:tmpl w:val="86CA86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6857B4"/>
    <w:multiLevelType w:val="hybridMultilevel"/>
    <w:tmpl w:val="F73E9A4C"/>
    <w:lvl w:ilvl="0" w:tplc="961E90FE">
      <w:start w:val="2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C46E9D"/>
    <w:multiLevelType w:val="hybridMultilevel"/>
    <w:tmpl w:val="8AE876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370647">
    <w:abstractNumId w:val="13"/>
  </w:num>
  <w:num w:numId="2" w16cid:durableId="997462415">
    <w:abstractNumId w:val="2"/>
  </w:num>
  <w:num w:numId="3" w16cid:durableId="2133356506">
    <w:abstractNumId w:val="14"/>
  </w:num>
  <w:num w:numId="4" w16cid:durableId="364328794">
    <w:abstractNumId w:val="16"/>
  </w:num>
  <w:num w:numId="5" w16cid:durableId="1465155160">
    <w:abstractNumId w:val="11"/>
  </w:num>
  <w:num w:numId="6" w16cid:durableId="1187408225">
    <w:abstractNumId w:val="3"/>
  </w:num>
  <w:num w:numId="7" w16cid:durableId="2072580758">
    <w:abstractNumId w:val="6"/>
  </w:num>
  <w:num w:numId="8" w16cid:durableId="139929241">
    <w:abstractNumId w:val="8"/>
  </w:num>
  <w:num w:numId="9" w16cid:durableId="1664091089">
    <w:abstractNumId w:val="15"/>
  </w:num>
  <w:num w:numId="10" w16cid:durableId="378863734">
    <w:abstractNumId w:val="5"/>
  </w:num>
  <w:num w:numId="11" w16cid:durableId="1060403817">
    <w:abstractNumId w:val="9"/>
  </w:num>
  <w:num w:numId="12" w16cid:durableId="1715078772">
    <w:abstractNumId w:val="17"/>
  </w:num>
  <w:num w:numId="13" w16cid:durableId="669408187">
    <w:abstractNumId w:val="10"/>
  </w:num>
  <w:num w:numId="14" w16cid:durableId="2048020607">
    <w:abstractNumId w:val="1"/>
  </w:num>
  <w:num w:numId="15" w16cid:durableId="78792135">
    <w:abstractNumId w:val="18"/>
  </w:num>
  <w:num w:numId="16" w16cid:durableId="2116288769">
    <w:abstractNumId w:val="7"/>
  </w:num>
  <w:num w:numId="17" w16cid:durableId="1727215816">
    <w:abstractNumId w:val="0"/>
  </w:num>
  <w:num w:numId="18" w16cid:durableId="1646467187">
    <w:abstractNumId w:val="4"/>
  </w:num>
  <w:num w:numId="19" w16cid:durableId="6537223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8EC"/>
    <w:rsid w:val="00003976"/>
    <w:rsid w:val="0000593B"/>
    <w:rsid w:val="00025700"/>
    <w:rsid w:val="00034444"/>
    <w:rsid w:val="00036D8C"/>
    <w:rsid w:val="00037134"/>
    <w:rsid w:val="0004310B"/>
    <w:rsid w:val="000435AD"/>
    <w:rsid w:val="00044379"/>
    <w:rsid w:val="00044C70"/>
    <w:rsid w:val="00047289"/>
    <w:rsid w:val="00047A43"/>
    <w:rsid w:val="00050657"/>
    <w:rsid w:val="0008006F"/>
    <w:rsid w:val="00082DBD"/>
    <w:rsid w:val="00095361"/>
    <w:rsid w:val="000A3977"/>
    <w:rsid w:val="000A5635"/>
    <w:rsid w:val="000B0193"/>
    <w:rsid w:val="000B7A9F"/>
    <w:rsid w:val="000C0169"/>
    <w:rsid w:val="000C0B79"/>
    <w:rsid w:val="000C5837"/>
    <w:rsid w:val="000D5651"/>
    <w:rsid w:val="000E424D"/>
    <w:rsid w:val="000E474B"/>
    <w:rsid w:val="000F4998"/>
    <w:rsid w:val="000F6909"/>
    <w:rsid w:val="0011220B"/>
    <w:rsid w:val="0011502E"/>
    <w:rsid w:val="0012494A"/>
    <w:rsid w:val="00124C7E"/>
    <w:rsid w:val="00134C37"/>
    <w:rsid w:val="00135585"/>
    <w:rsid w:val="00140439"/>
    <w:rsid w:val="00140EE5"/>
    <w:rsid w:val="00157456"/>
    <w:rsid w:val="00161A5F"/>
    <w:rsid w:val="00175CDE"/>
    <w:rsid w:val="00182B33"/>
    <w:rsid w:val="00183391"/>
    <w:rsid w:val="0018376A"/>
    <w:rsid w:val="00186DBF"/>
    <w:rsid w:val="00196003"/>
    <w:rsid w:val="001B1CBE"/>
    <w:rsid w:val="001B2572"/>
    <w:rsid w:val="001B70DB"/>
    <w:rsid w:val="001C7942"/>
    <w:rsid w:val="001D0709"/>
    <w:rsid w:val="001D5729"/>
    <w:rsid w:val="001D5855"/>
    <w:rsid w:val="001D7721"/>
    <w:rsid w:val="001E1366"/>
    <w:rsid w:val="001E2D2A"/>
    <w:rsid w:val="001E4560"/>
    <w:rsid w:val="001E60A6"/>
    <w:rsid w:val="00200058"/>
    <w:rsid w:val="0020111E"/>
    <w:rsid w:val="00201A7E"/>
    <w:rsid w:val="00206437"/>
    <w:rsid w:val="00211FF4"/>
    <w:rsid w:val="00215E29"/>
    <w:rsid w:val="0021705E"/>
    <w:rsid w:val="002214B8"/>
    <w:rsid w:val="00221D5A"/>
    <w:rsid w:val="0022246E"/>
    <w:rsid w:val="0022307E"/>
    <w:rsid w:val="00236A70"/>
    <w:rsid w:val="002402ED"/>
    <w:rsid w:val="00241CBA"/>
    <w:rsid w:val="002605B2"/>
    <w:rsid w:val="00270486"/>
    <w:rsid w:val="0027060B"/>
    <w:rsid w:val="0027301E"/>
    <w:rsid w:val="00280F33"/>
    <w:rsid w:val="00281E09"/>
    <w:rsid w:val="00282E40"/>
    <w:rsid w:val="002836A7"/>
    <w:rsid w:val="00292EE6"/>
    <w:rsid w:val="002976B0"/>
    <w:rsid w:val="002A1AE9"/>
    <w:rsid w:val="002A5FDB"/>
    <w:rsid w:val="002A6981"/>
    <w:rsid w:val="002B4D53"/>
    <w:rsid w:val="002C0C29"/>
    <w:rsid w:val="002C6CBE"/>
    <w:rsid w:val="002E0659"/>
    <w:rsid w:val="002E1573"/>
    <w:rsid w:val="002E5336"/>
    <w:rsid w:val="002E5699"/>
    <w:rsid w:val="002F048C"/>
    <w:rsid w:val="002F16EA"/>
    <w:rsid w:val="002F1CC0"/>
    <w:rsid w:val="002F6498"/>
    <w:rsid w:val="00303127"/>
    <w:rsid w:val="00303A54"/>
    <w:rsid w:val="00304060"/>
    <w:rsid w:val="00304254"/>
    <w:rsid w:val="00307ABA"/>
    <w:rsid w:val="00315F88"/>
    <w:rsid w:val="00315FC0"/>
    <w:rsid w:val="0031626E"/>
    <w:rsid w:val="0031627C"/>
    <w:rsid w:val="003178C6"/>
    <w:rsid w:val="003237C2"/>
    <w:rsid w:val="00324642"/>
    <w:rsid w:val="0032559B"/>
    <w:rsid w:val="00332A6B"/>
    <w:rsid w:val="00343600"/>
    <w:rsid w:val="0035036E"/>
    <w:rsid w:val="00356E00"/>
    <w:rsid w:val="0037008A"/>
    <w:rsid w:val="003715B0"/>
    <w:rsid w:val="00372C65"/>
    <w:rsid w:val="00383E05"/>
    <w:rsid w:val="00386685"/>
    <w:rsid w:val="00392E77"/>
    <w:rsid w:val="003956A7"/>
    <w:rsid w:val="003A026C"/>
    <w:rsid w:val="003A4F35"/>
    <w:rsid w:val="003B0B1F"/>
    <w:rsid w:val="003B529A"/>
    <w:rsid w:val="003C28A7"/>
    <w:rsid w:val="003C406A"/>
    <w:rsid w:val="003C4BB4"/>
    <w:rsid w:val="003C655C"/>
    <w:rsid w:val="003C7FF9"/>
    <w:rsid w:val="003D26CC"/>
    <w:rsid w:val="003D2B62"/>
    <w:rsid w:val="003E258C"/>
    <w:rsid w:val="003E5155"/>
    <w:rsid w:val="003E6CFB"/>
    <w:rsid w:val="003F4111"/>
    <w:rsid w:val="003F7FAC"/>
    <w:rsid w:val="00403B34"/>
    <w:rsid w:val="0040500B"/>
    <w:rsid w:val="00406FE0"/>
    <w:rsid w:val="00414393"/>
    <w:rsid w:val="0041596A"/>
    <w:rsid w:val="00417139"/>
    <w:rsid w:val="004171FF"/>
    <w:rsid w:val="004223CF"/>
    <w:rsid w:val="00423CB5"/>
    <w:rsid w:val="0042743F"/>
    <w:rsid w:val="00432123"/>
    <w:rsid w:val="00445E76"/>
    <w:rsid w:val="00446621"/>
    <w:rsid w:val="00447993"/>
    <w:rsid w:val="00465D62"/>
    <w:rsid w:val="00466F19"/>
    <w:rsid w:val="004679B7"/>
    <w:rsid w:val="00471705"/>
    <w:rsid w:val="0047250B"/>
    <w:rsid w:val="00474366"/>
    <w:rsid w:val="00480237"/>
    <w:rsid w:val="0048599C"/>
    <w:rsid w:val="00492B48"/>
    <w:rsid w:val="00496A11"/>
    <w:rsid w:val="00496B0E"/>
    <w:rsid w:val="004A0006"/>
    <w:rsid w:val="004A123D"/>
    <w:rsid w:val="004A2AE9"/>
    <w:rsid w:val="004A7D10"/>
    <w:rsid w:val="004B137B"/>
    <w:rsid w:val="004B20F3"/>
    <w:rsid w:val="004B6EE4"/>
    <w:rsid w:val="004C6FBB"/>
    <w:rsid w:val="004F09DE"/>
    <w:rsid w:val="004F0E7B"/>
    <w:rsid w:val="004F1176"/>
    <w:rsid w:val="004F59B6"/>
    <w:rsid w:val="004F6D1D"/>
    <w:rsid w:val="00500DB6"/>
    <w:rsid w:val="00501DEC"/>
    <w:rsid w:val="0050367F"/>
    <w:rsid w:val="00505526"/>
    <w:rsid w:val="00507DE9"/>
    <w:rsid w:val="00510DDB"/>
    <w:rsid w:val="005148CE"/>
    <w:rsid w:val="005243E3"/>
    <w:rsid w:val="005604CD"/>
    <w:rsid w:val="00564E7D"/>
    <w:rsid w:val="005662DA"/>
    <w:rsid w:val="00580446"/>
    <w:rsid w:val="005818F9"/>
    <w:rsid w:val="005820D4"/>
    <w:rsid w:val="00583F03"/>
    <w:rsid w:val="00585AAC"/>
    <w:rsid w:val="00592DAF"/>
    <w:rsid w:val="0059349A"/>
    <w:rsid w:val="0059483A"/>
    <w:rsid w:val="005957EF"/>
    <w:rsid w:val="005A0E13"/>
    <w:rsid w:val="005A1D53"/>
    <w:rsid w:val="005A5A12"/>
    <w:rsid w:val="005A6E28"/>
    <w:rsid w:val="005B6D46"/>
    <w:rsid w:val="005C27F0"/>
    <w:rsid w:val="005C56D2"/>
    <w:rsid w:val="005D1BA2"/>
    <w:rsid w:val="005D44D8"/>
    <w:rsid w:val="005D5802"/>
    <w:rsid w:val="005E19CE"/>
    <w:rsid w:val="005E69C5"/>
    <w:rsid w:val="005F5BA1"/>
    <w:rsid w:val="005F6728"/>
    <w:rsid w:val="006029F3"/>
    <w:rsid w:val="006041F9"/>
    <w:rsid w:val="00604FE1"/>
    <w:rsid w:val="00605779"/>
    <w:rsid w:val="00612CB1"/>
    <w:rsid w:val="0061417D"/>
    <w:rsid w:val="0061578F"/>
    <w:rsid w:val="00621002"/>
    <w:rsid w:val="00631776"/>
    <w:rsid w:val="00633EEC"/>
    <w:rsid w:val="0063522F"/>
    <w:rsid w:val="00637983"/>
    <w:rsid w:val="00641FCD"/>
    <w:rsid w:val="00654BE0"/>
    <w:rsid w:val="00655124"/>
    <w:rsid w:val="00656F60"/>
    <w:rsid w:val="00666196"/>
    <w:rsid w:val="00671ACD"/>
    <w:rsid w:val="0067238D"/>
    <w:rsid w:val="00686940"/>
    <w:rsid w:val="00691B62"/>
    <w:rsid w:val="00695C89"/>
    <w:rsid w:val="006A7933"/>
    <w:rsid w:val="006C3D3B"/>
    <w:rsid w:val="006C5D1A"/>
    <w:rsid w:val="006C614D"/>
    <w:rsid w:val="006D1A8B"/>
    <w:rsid w:val="006D4638"/>
    <w:rsid w:val="006E0E79"/>
    <w:rsid w:val="006E3454"/>
    <w:rsid w:val="00704352"/>
    <w:rsid w:val="007050EC"/>
    <w:rsid w:val="00711636"/>
    <w:rsid w:val="0071208C"/>
    <w:rsid w:val="00723BE4"/>
    <w:rsid w:val="007254E0"/>
    <w:rsid w:val="00727E5B"/>
    <w:rsid w:val="00731A1F"/>
    <w:rsid w:val="00735E26"/>
    <w:rsid w:val="00736335"/>
    <w:rsid w:val="0074007D"/>
    <w:rsid w:val="0074054B"/>
    <w:rsid w:val="0074515D"/>
    <w:rsid w:val="00747C16"/>
    <w:rsid w:val="0075123A"/>
    <w:rsid w:val="00752DF9"/>
    <w:rsid w:val="00757085"/>
    <w:rsid w:val="007645FC"/>
    <w:rsid w:val="00765572"/>
    <w:rsid w:val="00772B65"/>
    <w:rsid w:val="00774537"/>
    <w:rsid w:val="00794CC0"/>
    <w:rsid w:val="007956B6"/>
    <w:rsid w:val="00796778"/>
    <w:rsid w:val="00797BAE"/>
    <w:rsid w:val="007A0FA0"/>
    <w:rsid w:val="007A473A"/>
    <w:rsid w:val="007B0EC6"/>
    <w:rsid w:val="007B240E"/>
    <w:rsid w:val="007C6A71"/>
    <w:rsid w:val="007D1DB5"/>
    <w:rsid w:val="007D568C"/>
    <w:rsid w:val="007D748D"/>
    <w:rsid w:val="007F3B92"/>
    <w:rsid w:val="008044F7"/>
    <w:rsid w:val="00805F19"/>
    <w:rsid w:val="00806691"/>
    <w:rsid w:val="00807E24"/>
    <w:rsid w:val="00810A03"/>
    <w:rsid w:val="008128EA"/>
    <w:rsid w:val="00826806"/>
    <w:rsid w:val="00826DFF"/>
    <w:rsid w:val="0082762F"/>
    <w:rsid w:val="00827ECE"/>
    <w:rsid w:val="0084047E"/>
    <w:rsid w:val="0084781D"/>
    <w:rsid w:val="008515E3"/>
    <w:rsid w:val="00851B50"/>
    <w:rsid w:val="00854748"/>
    <w:rsid w:val="008602F5"/>
    <w:rsid w:val="008651EE"/>
    <w:rsid w:val="00865AD5"/>
    <w:rsid w:val="0086613C"/>
    <w:rsid w:val="00866842"/>
    <w:rsid w:val="00874D3B"/>
    <w:rsid w:val="00875BC6"/>
    <w:rsid w:val="00880D9E"/>
    <w:rsid w:val="008876CD"/>
    <w:rsid w:val="00887C3C"/>
    <w:rsid w:val="00890D92"/>
    <w:rsid w:val="00892ED9"/>
    <w:rsid w:val="008A3B33"/>
    <w:rsid w:val="008A57C5"/>
    <w:rsid w:val="008A580E"/>
    <w:rsid w:val="008A7F33"/>
    <w:rsid w:val="008B1614"/>
    <w:rsid w:val="008B344E"/>
    <w:rsid w:val="008B4C03"/>
    <w:rsid w:val="008C30D0"/>
    <w:rsid w:val="008C500A"/>
    <w:rsid w:val="008D0140"/>
    <w:rsid w:val="008D17CA"/>
    <w:rsid w:val="008D3A2B"/>
    <w:rsid w:val="008D667B"/>
    <w:rsid w:val="008D66B8"/>
    <w:rsid w:val="008E1ADD"/>
    <w:rsid w:val="008E35C3"/>
    <w:rsid w:val="008E5383"/>
    <w:rsid w:val="008E7813"/>
    <w:rsid w:val="00900EDD"/>
    <w:rsid w:val="00903FB0"/>
    <w:rsid w:val="009063E9"/>
    <w:rsid w:val="009107F9"/>
    <w:rsid w:val="00913691"/>
    <w:rsid w:val="00914452"/>
    <w:rsid w:val="00924627"/>
    <w:rsid w:val="00924A98"/>
    <w:rsid w:val="00941494"/>
    <w:rsid w:val="00951974"/>
    <w:rsid w:val="00951A5A"/>
    <w:rsid w:val="00952274"/>
    <w:rsid w:val="00954756"/>
    <w:rsid w:val="00957DA5"/>
    <w:rsid w:val="00965926"/>
    <w:rsid w:val="009762FD"/>
    <w:rsid w:val="00976991"/>
    <w:rsid w:val="00983601"/>
    <w:rsid w:val="009837BD"/>
    <w:rsid w:val="00984098"/>
    <w:rsid w:val="00996AEC"/>
    <w:rsid w:val="009A02B0"/>
    <w:rsid w:val="009A0342"/>
    <w:rsid w:val="009A1063"/>
    <w:rsid w:val="009A2172"/>
    <w:rsid w:val="009A2C39"/>
    <w:rsid w:val="009A4D79"/>
    <w:rsid w:val="009B3164"/>
    <w:rsid w:val="009B62DF"/>
    <w:rsid w:val="009C190E"/>
    <w:rsid w:val="009C5B39"/>
    <w:rsid w:val="009D1922"/>
    <w:rsid w:val="009D1BA0"/>
    <w:rsid w:val="009E177A"/>
    <w:rsid w:val="009E27B5"/>
    <w:rsid w:val="009F7F02"/>
    <w:rsid w:val="00A200D2"/>
    <w:rsid w:val="00A238F9"/>
    <w:rsid w:val="00A309BD"/>
    <w:rsid w:val="00A31F59"/>
    <w:rsid w:val="00A37463"/>
    <w:rsid w:val="00A37ADE"/>
    <w:rsid w:val="00A4514B"/>
    <w:rsid w:val="00A465B5"/>
    <w:rsid w:val="00A51BD2"/>
    <w:rsid w:val="00A6617F"/>
    <w:rsid w:val="00A73410"/>
    <w:rsid w:val="00A76B15"/>
    <w:rsid w:val="00A82894"/>
    <w:rsid w:val="00A84B07"/>
    <w:rsid w:val="00A854E1"/>
    <w:rsid w:val="00A971CA"/>
    <w:rsid w:val="00A97992"/>
    <w:rsid w:val="00AA5E90"/>
    <w:rsid w:val="00AC19CC"/>
    <w:rsid w:val="00AD34FB"/>
    <w:rsid w:val="00AE6440"/>
    <w:rsid w:val="00AF13B1"/>
    <w:rsid w:val="00AF16D8"/>
    <w:rsid w:val="00AF5F4D"/>
    <w:rsid w:val="00B03093"/>
    <w:rsid w:val="00B03FEE"/>
    <w:rsid w:val="00B04FB0"/>
    <w:rsid w:val="00B05D49"/>
    <w:rsid w:val="00B07170"/>
    <w:rsid w:val="00B11B4D"/>
    <w:rsid w:val="00B15895"/>
    <w:rsid w:val="00B16B16"/>
    <w:rsid w:val="00B225F3"/>
    <w:rsid w:val="00B23659"/>
    <w:rsid w:val="00B25629"/>
    <w:rsid w:val="00B31FA5"/>
    <w:rsid w:val="00B41251"/>
    <w:rsid w:val="00B41F53"/>
    <w:rsid w:val="00B438E6"/>
    <w:rsid w:val="00B525EF"/>
    <w:rsid w:val="00B53ABF"/>
    <w:rsid w:val="00B57982"/>
    <w:rsid w:val="00B60A46"/>
    <w:rsid w:val="00B629F7"/>
    <w:rsid w:val="00B642FC"/>
    <w:rsid w:val="00B70FE0"/>
    <w:rsid w:val="00B772CC"/>
    <w:rsid w:val="00BA49AE"/>
    <w:rsid w:val="00BA5710"/>
    <w:rsid w:val="00BA57C3"/>
    <w:rsid w:val="00BB1E0A"/>
    <w:rsid w:val="00BB2560"/>
    <w:rsid w:val="00BC7D99"/>
    <w:rsid w:val="00BD7AC8"/>
    <w:rsid w:val="00BD7C98"/>
    <w:rsid w:val="00BF3376"/>
    <w:rsid w:val="00BF7F56"/>
    <w:rsid w:val="00C0513C"/>
    <w:rsid w:val="00C209C9"/>
    <w:rsid w:val="00C228EC"/>
    <w:rsid w:val="00C30EF6"/>
    <w:rsid w:val="00C321EE"/>
    <w:rsid w:val="00C32A8E"/>
    <w:rsid w:val="00C4426B"/>
    <w:rsid w:val="00C45585"/>
    <w:rsid w:val="00C52BB8"/>
    <w:rsid w:val="00C53EE3"/>
    <w:rsid w:val="00C54AEC"/>
    <w:rsid w:val="00C5726F"/>
    <w:rsid w:val="00C72B68"/>
    <w:rsid w:val="00C817DC"/>
    <w:rsid w:val="00C92667"/>
    <w:rsid w:val="00CB16EF"/>
    <w:rsid w:val="00CB1B88"/>
    <w:rsid w:val="00CB2676"/>
    <w:rsid w:val="00CB3C6D"/>
    <w:rsid w:val="00CB5BEE"/>
    <w:rsid w:val="00CC5BCB"/>
    <w:rsid w:val="00CC7B25"/>
    <w:rsid w:val="00CE3512"/>
    <w:rsid w:val="00CF06EF"/>
    <w:rsid w:val="00CF795F"/>
    <w:rsid w:val="00D053FF"/>
    <w:rsid w:val="00D133BC"/>
    <w:rsid w:val="00D1385B"/>
    <w:rsid w:val="00D16A0E"/>
    <w:rsid w:val="00D211B7"/>
    <w:rsid w:val="00D231DF"/>
    <w:rsid w:val="00D3308D"/>
    <w:rsid w:val="00D3388F"/>
    <w:rsid w:val="00D36412"/>
    <w:rsid w:val="00D403D2"/>
    <w:rsid w:val="00D4599E"/>
    <w:rsid w:val="00D46F00"/>
    <w:rsid w:val="00D54BB3"/>
    <w:rsid w:val="00D57A57"/>
    <w:rsid w:val="00D645AC"/>
    <w:rsid w:val="00D71BAE"/>
    <w:rsid w:val="00D71F37"/>
    <w:rsid w:val="00D7251A"/>
    <w:rsid w:val="00D8384C"/>
    <w:rsid w:val="00D843E2"/>
    <w:rsid w:val="00D847CE"/>
    <w:rsid w:val="00D8570E"/>
    <w:rsid w:val="00D90C34"/>
    <w:rsid w:val="00D922C8"/>
    <w:rsid w:val="00D96F6C"/>
    <w:rsid w:val="00DA0198"/>
    <w:rsid w:val="00DA0862"/>
    <w:rsid w:val="00DA0DF6"/>
    <w:rsid w:val="00DB0487"/>
    <w:rsid w:val="00DC553B"/>
    <w:rsid w:val="00DC738E"/>
    <w:rsid w:val="00DD25D1"/>
    <w:rsid w:val="00DE35B5"/>
    <w:rsid w:val="00DE3B01"/>
    <w:rsid w:val="00DE50C7"/>
    <w:rsid w:val="00DE643E"/>
    <w:rsid w:val="00DF2F22"/>
    <w:rsid w:val="00DF74DE"/>
    <w:rsid w:val="00DF7C76"/>
    <w:rsid w:val="00E014C0"/>
    <w:rsid w:val="00E03709"/>
    <w:rsid w:val="00E054CE"/>
    <w:rsid w:val="00E173D1"/>
    <w:rsid w:val="00E210B1"/>
    <w:rsid w:val="00E21701"/>
    <w:rsid w:val="00E25839"/>
    <w:rsid w:val="00E3124F"/>
    <w:rsid w:val="00E35E28"/>
    <w:rsid w:val="00E360F7"/>
    <w:rsid w:val="00E516F6"/>
    <w:rsid w:val="00E52C61"/>
    <w:rsid w:val="00E726C8"/>
    <w:rsid w:val="00E8038D"/>
    <w:rsid w:val="00E83ED2"/>
    <w:rsid w:val="00E859EB"/>
    <w:rsid w:val="00E93661"/>
    <w:rsid w:val="00EA2D30"/>
    <w:rsid w:val="00EB21E9"/>
    <w:rsid w:val="00EB2738"/>
    <w:rsid w:val="00EC5D5A"/>
    <w:rsid w:val="00EF1C1D"/>
    <w:rsid w:val="00F024BA"/>
    <w:rsid w:val="00F10518"/>
    <w:rsid w:val="00F12074"/>
    <w:rsid w:val="00F1770A"/>
    <w:rsid w:val="00F339CF"/>
    <w:rsid w:val="00F4428D"/>
    <w:rsid w:val="00F526EA"/>
    <w:rsid w:val="00F5679C"/>
    <w:rsid w:val="00F5729B"/>
    <w:rsid w:val="00F66FD2"/>
    <w:rsid w:val="00F73F56"/>
    <w:rsid w:val="00F7487B"/>
    <w:rsid w:val="00F75667"/>
    <w:rsid w:val="00F82107"/>
    <w:rsid w:val="00F91E78"/>
    <w:rsid w:val="00F925CD"/>
    <w:rsid w:val="00F977F6"/>
    <w:rsid w:val="00FA3F10"/>
    <w:rsid w:val="00FB2066"/>
    <w:rsid w:val="00FB4D98"/>
    <w:rsid w:val="00FB4F1C"/>
    <w:rsid w:val="00FC20FD"/>
    <w:rsid w:val="00FC2487"/>
    <w:rsid w:val="00FC2872"/>
    <w:rsid w:val="00FD03D8"/>
    <w:rsid w:val="00FD265C"/>
    <w:rsid w:val="00FD26FC"/>
    <w:rsid w:val="00FD45A4"/>
    <w:rsid w:val="00FE1DF1"/>
    <w:rsid w:val="03741FA7"/>
    <w:rsid w:val="37EDD754"/>
    <w:rsid w:val="4072985F"/>
    <w:rsid w:val="4FE0AEBB"/>
    <w:rsid w:val="53184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7E24DD"/>
  <w15:chartTrackingRefBased/>
  <w15:docId w15:val="{FB87D9A3-1A39-409C-97DE-4505205E7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24627"/>
    <w:pPr>
      <w:keepNext/>
      <w:numPr>
        <w:numId w:val="18"/>
      </w:numPr>
      <w:spacing w:before="440" w:after="300" w:line="300" w:lineRule="exact"/>
      <w:outlineLvl w:val="0"/>
    </w:pPr>
    <w:rPr>
      <w:rFonts w:ascii="Arial Black" w:eastAsia="Times New Roman" w:hAnsi="Arial Black" w:cs="Times New Roman"/>
      <w:sz w:val="24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924627"/>
    <w:pPr>
      <w:keepNext/>
      <w:numPr>
        <w:ilvl w:val="1"/>
        <w:numId w:val="18"/>
      </w:numPr>
      <w:spacing w:after="300" w:line="300" w:lineRule="exact"/>
      <w:outlineLvl w:val="1"/>
    </w:pPr>
    <w:rPr>
      <w:rFonts w:ascii="Arial" w:eastAsia="Times New Roman" w:hAnsi="Arial" w:cs="Times New Roman"/>
      <w:sz w:val="24"/>
      <w:szCs w:val="20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924627"/>
    <w:pPr>
      <w:keepNext/>
      <w:numPr>
        <w:ilvl w:val="2"/>
        <w:numId w:val="18"/>
      </w:numPr>
      <w:spacing w:after="300" w:line="300" w:lineRule="exact"/>
      <w:outlineLvl w:val="2"/>
    </w:pPr>
    <w:rPr>
      <w:rFonts w:ascii="Arial Black" w:eastAsia="Times New Roman" w:hAnsi="Arial Black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22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228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228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228EC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2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28EC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228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228EC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51A5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81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75123A"/>
    <w:pPr>
      <w:ind w:left="720"/>
      <w:contextualSpacing/>
    </w:pPr>
  </w:style>
  <w:style w:type="paragraph" w:styleId="Revision">
    <w:name w:val="Revision"/>
    <w:hidden/>
    <w:uiPriority w:val="99"/>
    <w:semiHidden/>
    <w:rsid w:val="00140EE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93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661"/>
  </w:style>
  <w:style w:type="paragraph" w:styleId="Footer">
    <w:name w:val="footer"/>
    <w:basedOn w:val="Normal"/>
    <w:link w:val="FooterChar"/>
    <w:uiPriority w:val="99"/>
    <w:unhideWhenUsed/>
    <w:rsid w:val="00E936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661"/>
  </w:style>
  <w:style w:type="character" w:customStyle="1" w:styleId="Heading1Char">
    <w:name w:val="Heading 1 Char"/>
    <w:basedOn w:val="DefaultParagraphFont"/>
    <w:link w:val="Heading1"/>
    <w:rsid w:val="00924627"/>
    <w:rPr>
      <w:rFonts w:ascii="Arial Black" w:eastAsia="Times New Roman" w:hAnsi="Arial Black" w:cs="Times New Roman"/>
      <w:sz w:val="24"/>
      <w:szCs w:val="20"/>
      <w:lang w:eastAsia="en-GB"/>
    </w:rPr>
  </w:style>
  <w:style w:type="character" w:customStyle="1" w:styleId="Heading2Char">
    <w:name w:val="Heading 2 Char"/>
    <w:basedOn w:val="DefaultParagraphFont"/>
    <w:link w:val="Heading2"/>
    <w:rsid w:val="00924627"/>
    <w:rPr>
      <w:rFonts w:ascii="Arial" w:eastAsia="Times New Roman" w:hAnsi="Arial" w:cs="Times New Roman"/>
      <w:sz w:val="24"/>
      <w:szCs w:val="20"/>
      <w:lang w:eastAsia="en-GB"/>
    </w:rPr>
  </w:style>
  <w:style w:type="character" w:customStyle="1" w:styleId="Heading3Char">
    <w:name w:val="Heading 3 Char"/>
    <w:basedOn w:val="DefaultParagraphFont"/>
    <w:link w:val="Heading3"/>
    <w:rsid w:val="00924627"/>
    <w:rPr>
      <w:rFonts w:ascii="Arial Black" w:eastAsia="Times New Roman" w:hAnsi="Arial Black" w:cs="Times New Roman"/>
      <w:sz w:val="20"/>
      <w:szCs w:val="20"/>
      <w:lang w:eastAsia="en-GB"/>
    </w:rPr>
  </w:style>
  <w:style w:type="paragraph" w:customStyle="1" w:styleId="OutlineNum2">
    <w:name w:val="Outline Num 2"/>
    <w:basedOn w:val="Normal"/>
    <w:rsid w:val="00924627"/>
    <w:pPr>
      <w:numPr>
        <w:ilvl w:val="1"/>
        <w:numId w:val="19"/>
      </w:numPr>
      <w:spacing w:after="300" w:line="300" w:lineRule="exact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OutlineNum3">
    <w:name w:val="Outline Num 3"/>
    <w:basedOn w:val="Normal"/>
    <w:rsid w:val="00924627"/>
    <w:pPr>
      <w:numPr>
        <w:ilvl w:val="2"/>
        <w:numId w:val="19"/>
      </w:numPr>
      <w:spacing w:after="300" w:line="300" w:lineRule="exact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paragraph" w:customStyle="1" w:styleId="OutlineNum">
    <w:name w:val="Outline Num"/>
    <w:basedOn w:val="OutlineNum2"/>
    <w:next w:val="OutlineNum2"/>
    <w:rsid w:val="00924627"/>
    <w:pPr>
      <w:numPr>
        <w:ilvl w:val="0"/>
      </w:numPr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E065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E065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E0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837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34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customXml" Target="/customXML/item5.xml" Id="imanage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item5.xml><?xml version="1.0" encoding="utf-8"?>
<properties xmlns="http://www.imanage.com/work/xmlschema">
  <documentid>UKMATTERS!209669841.1</documentid>
  <senderid>148534</senderid>
  <senderemail>LAURA.COLLING@DLAPIPER.COM</senderemail>
  <lastmodified>2025-12-18T09:20:00.0000000+00:00</lastmodified>
  <database>UKMATTERS</database>
</propertie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FB8E90F8C3C0418E0F6C2695F4626B" ma:contentTypeVersion="14" ma:contentTypeDescription="Create a new document." ma:contentTypeScope="" ma:versionID="0c411589ad5405ba82991f873aa1172c">
  <xsd:schema xmlns:xsd="http://www.w3.org/2001/XMLSchema" xmlns:xs="http://www.w3.org/2001/XMLSchema" xmlns:p="http://schemas.microsoft.com/office/2006/metadata/properties" xmlns:ns2="f3cdfd9c-84af-49cb-aa66-9fb7475ba32e" xmlns:ns3="8cce40ac-996e-4994-9c5a-47f0f8a60532" targetNamespace="http://schemas.microsoft.com/office/2006/metadata/properties" ma:root="true" ma:fieldsID="67ada0f36faa4dbd1c32a96df28dbc9e" ns2:_="" ns3:_="">
    <xsd:import namespace="f3cdfd9c-84af-49cb-aa66-9fb7475ba32e"/>
    <xsd:import namespace="8cce40ac-996e-4994-9c5a-47f0f8a6053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dfd9c-84af-49cb-aa66-9fb7475ba3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9e44d475-307a-44ca-be01-935d19178b1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e40ac-996e-4994-9c5a-47f0f8a6053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ee44fd-04fd-44af-be7e-a7e4c267ec42}" ma:internalName="TaxCatchAll" ma:showField="CatchAllData" ma:web="8cce40ac-996e-4994-9c5a-47f0f8a6053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3cdfd9c-84af-49cb-aa66-9fb7475ba32e">
      <Terms xmlns="http://schemas.microsoft.com/office/infopath/2007/PartnerControls"/>
    </lcf76f155ced4ddcb4097134ff3c332f>
    <TaxCatchAll xmlns="8cce40ac-996e-4994-9c5a-47f0f8a6053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3994EC-8007-49D1-AA07-90415183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dfd9c-84af-49cb-aa66-9fb7475ba32e"/>
    <ds:schemaRef ds:uri="8cce40ac-996e-4994-9c5a-47f0f8a6053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10C00A-9E59-41D4-889A-05E5A67C15A1}">
  <ds:schemaRefs>
    <ds:schemaRef ds:uri="http://schemas.openxmlformats.org/package/2006/metadata/core-properties"/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dcmitype/"/>
    <ds:schemaRef ds:uri="http://schemas.microsoft.com/office/2006/metadata/properties"/>
    <ds:schemaRef ds:uri="http://purl.org/dc/terms/"/>
    <ds:schemaRef ds:uri="8cce40ac-996e-4994-9c5a-47f0f8a60532"/>
    <ds:schemaRef ds:uri="f3cdfd9c-84af-49cb-aa66-9fb7475ba32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31F4C8FA-0C3F-4058-9883-466F8BF8C09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5F721E-9599-4A8F-BFE0-8F4F59696C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1261</Words>
  <Characters>6344</Characters>
  <Application>Microsoft Office Word</Application>
  <DocSecurity>0</DocSecurity>
  <Lines>134</Lines>
  <Paragraphs>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KPMG</Company>
  <LinksUpToDate>false</LinksUpToDate>
  <CharactersWithSpaces>7531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 Bas, David</dc:creator>
  <cp:keywords/>
  <dc:description/>
  <cp:lastModifiedBy>Laura Colling</cp:lastModifiedBy>
  <cp:revision>6</cp:revision>
  <dcterms:created xsi:type="dcterms:W3CDTF">2025-12-18T09:20:00Z</dcterms:created>
  <dcterms:modified xsi:type="dcterms:W3CDTF">2025-12-18T09:20:00Z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0x01010059FB8E90F8C3C0418E0F6C2695F4626B</vt:lpwstr>
  </property>
  <property fmtid="{D5CDD505-2E9C-101B-9397-08002B2CF9AE}" pid="3" name="Order">
    <vt:r8>10800</vt:r8>
  </property>
  <property fmtid="{D5CDD505-2E9C-101B-9397-08002B2CF9AE}" pid="4" name="MSIP_Label_df818868-c01c-44c9-ad71-c3bcd7450a7b_Enabled">
    <vt:lpwstr>true</vt:lpwstr>
  </property>
  <property fmtid="{D5CDD505-2E9C-101B-9397-08002B2CF9AE}" pid="5" name="MSIP_Label_df818868-c01c-44c9-ad71-c3bcd7450a7b_SetDate">
    <vt:lpwstr>2022-07-05T13:01:20Z</vt:lpwstr>
  </property>
  <property fmtid="{D5CDD505-2E9C-101B-9397-08002B2CF9AE}" pid="6" name="MSIP_Label_df818868-c01c-44c9-ad71-c3bcd7450a7b_Method">
    <vt:lpwstr>Standard</vt:lpwstr>
  </property>
  <property fmtid="{D5CDD505-2E9C-101B-9397-08002B2CF9AE}" pid="7" name="MSIP_Label_df818868-c01c-44c9-ad71-c3bcd7450a7b_Name">
    <vt:lpwstr>Confidential Anyone</vt:lpwstr>
  </property>
  <property fmtid="{D5CDD505-2E9C-101B-9397-08002B2CF9AE}" pid="8" name="MSIP_Label_df818868-c01c-44c9-ad71-c3bcd7450a7b_SiteId">
    <vt:lpwstr>ab764745-f919-47d0-8e21-f242e4ad7ebf</vt:lpwstr>
  </property>
  <property fmtid="{D5CDD505-2E9C-101B-9397-08002B2CF9AE}" pid="9" name="MSIP_Label_df818868-c01c-44c9-ad71-c3bcd7450a7b_ActionId">
    <vt:lpwstr>4af6f9a5-d9e2-4b4b-a797-b03a256708f6</vt:lpwstr>
  </property>
  <property fmtid="{D5CDD505-2E9C-101B-9397-08002B2CF9AE}" pid="10" name="MSIP_Label_df818868-c01c-44c9-ad71-c3bcd7450a7b_ContentBits">
    <vt:lpwstr>0</vt:lpwstr>
  </property>
  <property fmtid="{D5CDD505-2E9C-101B-9397-08002B2CF9AE}" pid="11" name="MediaServiceImageTags">
    <vt:lpwstr/>
  </property>
  <property fmtid="{D5CDD505-2E9C-101B-9397-08002B2CF9AE}" pid="12" name="Plato EditorId">
    <vt:lpwstr>d3b53947-1370-4993-bead-acc1dcf7d17a</vt:lpwstr>
  </property>
</Properties>
</file>